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rPr>
          <w:rFonts w:cstheme="minorBidi"/>
          <w:color w:val="auto"/>
        </w:rPr>
      </w:pPr>
      <w:r>
        <w:rPr>
          <w:rFonts w:hint="eastAsia" w:cstheme="minorBidi"/>
          <w:color w:val="auto"/>
        </w:rPr>
        <w:t xml:space="preserve">            </w:t>
      </w:r>
    </w:p>
    <w:p>
      <w:pPr>
        <w:spacing w:line="470" w:lineRule="exact"/>
        <w:jc w:val="center"/>
        <w:rPr>
          <w:rFonts w:ascii="宋体" w:hAnsi="宋体" w:eastAsia="宋体" w:cs="Times New Roman"/>
          <w:b/>
          <w:sz w:val="32"/>
          <w:szCs w:val="32"/>
        </w:rPr>
      </w:pPr>
      <w:r>
        <w:rPr>
          <w:rFonts w:ascii="宋体" w:hAnsi="宋体" w:eastAsia="宋体" w:cs="Times New Roman"/>
          <w:b/>
          <w:sz w:val="32"/>
          <w:szCs w:val="32"/>
        </w:rPr>
        <w:t>上海银行个人银行电子账户</w:t>
      </w:r>
      <w:r>
        <w:rPr>
          <w:rFonts w:hint="eastAsia" w:ascii="宋体" w:hAnsi="宋体" w:eastAsia="宋体" w:cs="Times New Roman"/>
          <w:b/>
          <w:sz w:val="32"/>
          <w:szCs w:val="32"/>
        </w:rPr>
        <w:t>服务</w:t>
      </w:r>
      <w:r>
        <w:rPr>
          <w:rFonts w:ascii="宋体" w:hAnsi="宋体" w:eastAsia="宋体" w:cs="Times New Roman"/>
          <w:b/>
          <w:sz w:val="32"/>
          <w:szCs w:val="32"/>
        </w:rPr>
        <w:t>协议</w:t>
      </w:r>
    </w:p>
    <w:p>
      <w:pPr>
        <w:spacing w:line="470" w:lineRule="exact"/>
        <w:jc w:val="left"/>
        <w:rPr>
          <w:rFonts w:ascii="黑体" w:hAnsi="黑体" w:eastAsia="黑体" w:cs="Times New Roman"/>
          <w:sz w:val="28"/>
          <w:szCs w:val="28"/>
        </w:rPr>
      </w:pPr>
    </w:p>
    <w:p>
      <w:pPr>
        <w:spacing w:line="470" w:lineRule="exact"/>
        <w:ind w:firstLine="560" w:firstLineChars="200"/>
        <w:rPr>
          <w:rFonts w:ascii="黑体" w:hAnsi="黑体" w:eastAsia="黑体" w:cs="Times New Roman"/>
          <w:sz w:val="28"/>
          <w:szCs w:val="28"/>
        </w:rPr>
      </w:pPr>
      <w:r>
        <w:rPr>
          <w:rFonts w:hint="eastAsia" w:ascii="黑体" w:hAnsi="黑体" w:eastAsia="黑体" w:cs="Times New Roman"/>
          <w:sz w:val="28"/>
          <w:szCs w:val="28"/>
        </w:rPr>
        <w:t>为保障您的权利，请您在签署前再次确认上海银行已向您明确说明并披露本协议相关金融产品/服务的重要信息，同时，如您对本产品/服务存在疑问、建议、投诉、意见或各方存在纠纷时，您可以通过上海银行客服电话95594联系上海银行，上海银行将在规定时间内向您答复。</w:t>
      </w:r>
    </w:p>
    <w:p>
      <w:pPr>
        <w:spacing w:line="470" w:lineRule="exact"/>
        <w:jc w:val="left"/>
        <w:rPr>
          <w:rFonts w:ascii="黑体" w:hAnsi="黑体" w:eastAsia="黑体" w:cs="Times New Roman"/>
          <w:sz w:val="28"/>
          <w:szCs w:val="28"/>
        </w:rPr>
      </w:pPr>
    </w:p>
    <w:p>
      <w:pPr>
        <w:spacing w:line="470" w:lineRule="exact"/>
        <w:jc w:val="left"/>
        <w:rPr>
          <w:b/>
          <w:sz w:val="32"/>
          <w:szCs w:val="32"/>
        </w:rPr>
      </w:pPr>
      <w:r>
        <w:rPr>
          <w:rFonts w:hint="eastAsia" w:ascii="黑体" w:hAnsi="黑体" w:eastAsia="黑体" w:cs="Times New Roman"/>
          <w:sz w:val="28"/>
          <w:szCs w:val="28"/>
        </w:rPr>
        <w:t>【特别提示】</w:t>
      </w:r>
    </w:p>
    <w:p>
      <w:pPr>
        <w:spacing w:line="470" w:lineRule="exact"/>
        <w:ind w:firstLine="560" w:firstLineChars="200"/>
        <w:jc w:val="left"/>
        <w:rPr>
          <w:rFonts w:ascii="黑体" w:hAnsi="黑体" w:eastAsia="黑体" w:cs="Times New Roman"/>
          <w:sz w:val="28"/>
          <w:szCs w:val="28"/>
        </w:rPr>
      </w:pPr>
      <w:r>
        <w:rPr>
          <w:rFonts w:hint="eastAsia" w:ascii="黑体" w:hAnsi="黑体" w:eastAsia="黑体" w:cs="Times New Roman"/>
          <w:sz w:val="28"/>
          <w:szCs w:val="28"/>
        </w:rPr>
        <w:t>您作为甲方在接受本协议之前，请您仔细阅读并充分理解本协议的全部内容。</w:t>
      </w:r>
    </w:p>
    <w:p>
      <w:pPr>
        <w:spacing w:line="470" w:lineRule="exact"/>
        <w:ind w:firstLine="560" w:firstLineChars="200"/>
        <w:jc w:val="left"/>
        <w:rPr>
          <w:rFonts w:ascii="黑体" w:hAnsi="黑体" w:eastAsia="黑体" w:cs="Times New Roman"/>
          <w:sz w:val="28"/>
          <w:szCs w:val="28"/>
        </w:rPr>
      </w:pPr>
      <w:r>
        <w:rPr>
          <w:rFonts w:hint="eastAsia" w:ascii="黑体" w:hAnsi="黑体" w:eastAsia="黑体" w:cs="Times New Roman"/>
          <w:sz w:val="28"/>
          <w:szCs w:val="28"/>
        </w:rPr>
        <w:t>您在显示本协议的互联网页面或APP 上点击确认或以上海银行股份有限公司约定的其他方式接受本协议（下或称“线上签署方式”），即表示您与上海银行股份有限公司已达成协议并同意接受本协议的全部约定内容以及与本协议有关的各项规定。您通过线上签署方式对本协议所作的确认（包括但不限于以点击的形式或是以其他数据电文形式的回复）具有本协议以签字签署的同等法律效力。</w:t>
      </w:r>
    </w:p>
    <w:p>
      <w:pPr>
        <w:spacing w:line="470" w:lineRule="exact"/>
        <w:ind w:firstLine="560" w:firstLineChars="200"/>
        <w:jc w:val="left"/>
        <w:rPr>
          <w:rFonts w:ascii="黑体" w:hAnsi="黑体" w:eastAsia="黑体" w:cs="Times New Roman"/>
          <w:sz w:val="28"/>
          <w:szCs w:val="28"/>
        </w:rPr>
      </w:pPr>
      <w:r>
        <w:rPr>
          <w:rFonts w:hint="eastAsia" w:ascii="黑体" w:hAnsi="黑体" w:eastAsia="黑体" w:cs="Times New Roman"/>
          <w:sz w:val="28"/>
          <w:szCs w:val="28"/>
        </w:rPr>
        <w:t>如果您不同意本协议的任意内容，或者无法准确理解条款的含义，请不要进行后续操作。如您进行后续操作，则视为您已准确理解并全部接受本协议的全部条款。</w:t>
      </w:r>
    </w:p>
    <w:p>
      <w:pPr>
        <w:spacing w:line="47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您作为开户申请人（以下简称“甲方”）与上海银行股份有限公司（以下简称“乙方”）</w:t>
      </w:r>
      <w:r>
        <w:rPr>
          <w:rFonts w:ascii="仿宋_GB2312" w:hAnsi="Calibri" w:eastAsia="仿宋_GB2312" w:cs="Times New Roman"/>
          <w:sz w:val="28"/>
          <w:szCs w:val="28"/>
        </w:rPr>
        <w:t>在平等自愿的基础上，</w:t>
      </w:r>
      <w:r>
        <w:rPr>
          <w:rFonts w:hint="eastAsia" w:ascii="仿宋_GB2312" w:hAnsi="Calibri" w:eastAsia="仿宋_GB2312" w:cs="Times New Roman"/>
          <w:sz w:val="28"/>
          <w:szCs w:val="28"/>
        </w:rPr>
        <w:t>根据中国人民银行《人民币银行结算账户管理办法》、《关于落实个人银行账户分类管理制度的通知》及相关法律法规，</w:t>
      </w:r>
      <w:r>
        <w:rPr>
          <w:rFonts w:ascii="仿宋_GB2312" w:hAnsi="Calibri" w:eastAsia="仿宋_GB2312" w:cs="Times New Roman"/>
          <w:sz w:val="28"/>
          <w:szCs w:val="28"/>
        </w:rPr>
        <w:t>签订本协议并共同遵守。</w:t>
      </w:r>
    </w:p>
    <w:p>
      <w:pPr>
        <w:spacing w:line="470" w:lineRule="exact"/>
        <w:ind w:firstLine="562" w:firstLineChars="200"/>
        <w:rPr>
          <w:rFonts w:ascii="仿宋_GB2312" w:hAnsi="Calibri" w:eastAsia="仿宋_GB2312" w:cs="Times New Roman"/>
          <w:sz w:val="28"/>
          <w:szCs w:val="28"/>
        </w:rPr>
      </w:pPr>
      <w:r>
        <w:rPr>
          <w:rFonts w:ascii="仿宋_GB2312" w:hAnsi="Calibri" w:eastAsia="仿宋_GB2312" w:cs="Times New Roman"/>
          <w:b/>
          <w:sz w:val="28"/>
          <w:szCs w:val="28"/>
        </w:rPr>
        <w:t>第一条</w:t>
      </w:r>
      <w:r>
        <w:rPr>
          <w:rFonts w:hint="eastAsia" w:cs="Times New Roman" w:asciiTheme="minorEastAsia" w:hAnsiTheme="minorEastAsia"/>
          <w:sz w:val="28"/>
          <w:szCs w:val="28"/>
        </w:rPr>
        <w:t xml:space="preserve">  【</w:t>
      </w:r>
      <w:r>
        <w:rPr>
          <w:rFonts w:hint="eastAsia" w:ascii="仿宋_GB2312" w:hAnsi="Calibri" w:eastAsia="仿宋_GB2312" w:cs="Times New Roman"/>
          <w:sz w:val="28"/>
          <w:szCs w:val="28"/>
        </w:rPr>
        <w:t>申请发起</w:t>
      </w:r>
      <w:r>
        <w:rPr>
          <w:rFonts w:hint="eastAsia" w:cs="Times New Roman" w:asciiTheme="minorEastAsia" w:hAnsiTheme="minorEastAsia"/>
          <w:sz w:val="28"/>
          <w:szCs w:val="28"/>
        </w:rPr>
        <w:t>】</w:t>
      </w:r>
      <w:r>
        <w:rPr>
          <w:rFonts w:ascii="仿宋_GB2312" w:hAnsi="Calibri" w:eastAsia="仿宋_GB2312" w:cs="Times New Roman"/>
          <w:sz w:val="28"/>
          <w:szCs w:val="28"/>
        </w:rPr>
        <w:t>甲方自愿选择在乙方开立个人银行电子账户，乙方接受甲方</w:t>
      </w:r>
      <w:r>
        <w:rPr>
          <w:rFonts w:hint="eastAsia" w:ascii="仿宋_GB2312" w:hAnsi="Calibri" w:eastAsia="仿宋_GB2312" w:cs="Times New Roman"/>
          <w:sz w:val="28"/>
          <w:szCs w:val="28"/>
        </w:rPr>
        <w:t>申请</w:t>
      </w:r>
      <w:r>
        <w:rPr>
          <w:rFonts w:ascii="仿宋_GB2312" w:hAnsi="Calibri" w:eastAsia="仿宋_GB2312" w:cs="Times New Roman"/>
          <w:sz w:val="28"/>
          <w:szCs w:val="28"/>
        </w:rPr>
        <w:t>，</w:t>
      </w:r>
      <w:r>
        <w:rPr>
          <w:rFonts w:hint="eastAsia" w:ascii="仿宋_GB2312" w:hAnsi="Calibri" w:eastAsia="仿宋_GB2312" w:cs="Times New Roman"/>
          <w:sz w:val="28"/>
          <w:szCs w:val="28"/>
        </w:rPr>
        <w:t>通过电子渠道验证后</w:t>
      </w:r>
      <w:r>
        <w:rPr>
          <w:rFonts w:ascii="仿宋_GB2312" w:hAnsi="Calibri" w:eastAsia="仿宋_GB2312" w:cs="Times New Roman"/>
          <w:sz w:val="28"/>
          <w:szCs w:val="28"/>
        </w:rPr>
        <w:t>为甲方提供个人电子账户服务。</w:t>
      </w:r>
    </w:p>
    <w:p>
      <w:pPr>
        <w:spacing w:line="470" w:lineRule="exact"/>
        <w:ind w:firstLine="562" w:firstLineChars="200"/>
        <w:rPr>
          <w:rFonts w:ascii="仿宋_GB2312" w:hAnsi="Calibri" w:eastAsia="仿宋_GB2312" w:cs="Times New Roman"/>
          <w:sz w:val="28"/>
          <w:szCs w:val="28"/>
        </w:rPr>
      </w:pPr>
      <w:r>
        <w:rPr>
          <w:rFonts w:ascii="仿宋_GB2312" w:hAnsi="Calibri" w:eastAsia="仿宋_GB2312" w:cs="Times New Roman"/>
          <w:b/>
          <w:sz w:val="28"/>
          <w:szCs w:val="28"/>
        </w:rPr>
        <w:t>第二条</w:t>
      </w:r>
      <w:r>
        <w:rPr>
          <w:rFonts w:hint="eastAsia" w:cs="Times New Roman" w:asciiTheme="minorEastAsia" w:hAnsiTheme="minorEastAsia"/>
          <w:sz w:val="28"/>
          <w:szCs w:val="28"/>
        </w:rPr>
        <w:t xml:space="preserve">  【</w:t>
      </w:r>
      <w:r>
        <w:rPr>
          <w:rFonts w:hint="eastAsia" w:ascii="仿宋_GB2312" w:hAnsi="Calibri" w:eastAsia="仿宋_GB2312" w:cs="Times New Roman"/>
          <w:sz w:val="28"/>
          <w:szCs w:val="28"/>
        </w:rPr>
        <w:t>定义</w:t>
      </w:r>
      <w:r>
        <w:rPr>
          <w:rFonts w:hint="eastAsia" w:cs="Times New Roman" w:asciiTheme="minorEastAsia" w:hAnsiTheme="minorEastAsia"/>
          <w:sz w:val="28"/>
          <w:szCs w:val="28"/>
        </w:rPr>
        <w:t>】</w:t>
      </w:r>
      <w:r>
        <w:rPr>
          <w:rFonts w:ascii="仿宋_GB2312" w:hAnsi="Calibri" w:eastAsia="仿宋_GB2312" w:cs="Times New Roman"/>
          <w:sz w:val="28"/>
          <w:szCs w:val="28"/>
        </w:rPr>
        <w:t>甲方在乙方开立、使用、变更和撤销个人银行电子账户应遵守《人民币银行</w:t>
      </w:r>
      <w:r>
        <w:rPr>
          <w:rFonts w:hint="eastAsia" w:ascii="仿宋_GB2312" w:hAnsi="Calibri" w:eastAsia="仿宋_GB2312" w:cs="Times New Roman"/>
          <w:sz w:val="28"/>
          <w:szCs w:val="28"/>
        </w:rPr>
        <w:t>结算</w:t>
      </w:r>
      <w:r>
        <w:rPr>
          <w:rFonts w:ascii="仿宋_GB2312" w:hAnsi="Calibri" w:eastAsia="仿宋_GB2312" w:cs="Times New Roman"/>
          <w:sz w:val="28"/>
          <w:szCs w:val="28"/>
        </w:rPr>
        <w:t>账户管理办法》及支付结算相关法律法规的规定，并应遵守乙方有关制度规定。</w:t>
      </w:r>
    </w:p>
    <w:p>
      <w:pPr>
        <w:spacing w:line="47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电子账户：是指甲方凭有效个人身份证件通过乙方非柜面渠道或XXXX</w:t>
      </w:r>
      <w:r>
        <w:rPr>
          <w:rFonts w:hint="eastAsia" w:ascii="黑体" w:hAnsi="黑体" w:eastAsia="黑体" w:cs="Times New Roman"/>
          <w:color w:val="auto"/>
          <w:sz w:val="28"/>
          <w:szCs w:val="28"/>
        </w:rPr>
        <w:t>（以下简称“合作方”）</w:t>
      </w:r>
      <w:r>
        <w:rPr>
          <w:rFonts w:hint="eastAsia" w:ascii="仿宋_GB2312" w:hAnsi="Calibri" w:eastAsia="仿宋_GB2312" w:cs="Times New Roman"/>
          <w:sz w:val="28"/>
          <w:szCs w:val="28"/>
        </w:rPr>
        <w:t>电子渠道以非面对面方式在乙方开立，用于办理资金收付结算的个人银行账户。根据中国人民银行有关个人银行结算账户分类管理的规定，本协议所称电子账户仅为II类电子账户及III类电子账户（以下分别简称“II类户”、“III类户”）。</w:t>
      </w:r>
    </w:p>
    <w:p>
      <w:pPr>
        <w:spacing w:line="47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非面对面方式：是指通过乙方非柜面渠道或合作方电子渠道的开立方式。乙方非柜面渠道，包括乙方官方网站、</w:t>
      </w:r>
      <w:r>
        <w:rPr>
          <w:rFonts w:ascii="仿宋" w:hAnsi="仿宋" w:eastAsia="仿宋"/>
          <w:sz w:val="28"/>
        </w:rPr>
        <w:t>客户端App</w:t>
      </w:r>
      <w:r>
        <w:rPr>
          <w:rFonts w:hint="eastAsia" w:ascii="仿宋_GB2312" w:hAnsi="Calibri" w:eastAsia="仿宋_GB2312" w:cs="Times New Roman"/>
          <w:sz w:val="28"/>
          <w:szCs w:val="28"/>
        </w:rPr>
        <w:t>、手机银行、微信银行等。</w:t>
      </w:r>
    </w:p>
    <w:p>
      <w:pPr>
        <w:spacing w:line="47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II类户：是指甲方在乙方以非面对面方式开立的II类户，乙方通过该账户为甲方提供存款、购买投资理财产品等金融产品、限额内的消费和缴费支付、限额内向非绑定账户转出资金及贷款等服务。账户具体功能和金额限制以乙方届时为甲方开通的功能为准。</w:t>
      </w:r>
    </w:p>
    <w:p>
      <w:pPr>
        <w:spacing w:line="47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III类户：是指甲方在乙方以非面对面方式开立的III类户，乙方通过该账户为甲方提供限额内的消费和缴费支付、限额内向非绑定账户转出资金、非绑定账户限额内向该账户转入资金及贷款等服务。账户具体功能和金额限制以乙方届时为甲方开通的功能为准。</w:t>
      </w:r>
    </w:p>
    <w:p>
      <w:pPr>
        <w:spacing w:line="470" w:lineRule="exact"/>
        <w:ind w:firstLine="560" w:firstLineChars="200"/>
        <w:rPr>
          <w:rFonts w:ascii="仿宋_GB2312" w:hAnsi="Calibri" w:eastAsia="仿宋_GB2312" w:cs="Times New Roman"/>
          <w:sz w:val="28"/>
          <w:szCs w:val="28"/>
          <w:lang w:eastAsia="zh-TW"/>
        </w:rPr>
      </w:pPr>
      <w:r>
        <w:rPr>
          <w:rFonts w:hint="eastAsia" w:ascii="仿宋_GB2312" w:hAnsi="Calibri" w:eastAsia="仿宋_GB2312" w:cs="Times New Roman"/>
          <w:sz w:val="28"/>
          <w:szCs w:val="28"/>
          <w:lang w:eastAsia="zh-TW"/>
        </w:rPr>
        <w:t>绑定账户：是指甲方开立电子账户时登记预留的</w:t>
      </w:r>
      <w:r>
        <w:rPr>
          <w:rFonts w:ascii="仿宋_GB2312" w:hAnsi="Helvetica" w:eastAsia="仿宋_GB2312" w:cs="Helvetica"/>
          <w:color w:val="auto"/>
          <w:kern w:val="0"/>
          <w:sz w:val="28"/>
          <w:szCs w:val="28"/>
        </w:rPr>
        <w:t>与电子账户相关联的</w:t>
      </w:r>
      <w:r>
        <w:rPr>
          <w:rFonts w:hint="eastAsia" w:ascii="仿宋_GB2312" w:hAnsi="Helvetica" w:eastAsia="仿宋_GB2312" w:cs="Helvetica"/>
          <w:color w:val="auto"/>
          <w:kern w:val="0"/>
          <w:sz w:val="28"/>
          <w:szCs w:val="28"/>
        </w:rPr>
        <w:t>甲方</w:t>
      </w:r>
      <w:r>
        <w:rPr>
          <w:rFonts w:hint="eastAsia" w:ascii="仿宋_GB2312" w:hAnsi="Calibri" w:eastAsia="仿宋_GB2312" w:cs="Times New Roman"/>
          <w:sz w:val="28"/>
          <w:szCs w:val="28"/>
          <w:lang w:eastAsia="zh-TW"/>
        </w:rPr>
        <w:t>本人在乙方或其他银行开立的同名银行账户，</w:t>
      </w:r>
      <w:r>
        <w:rPr>
          <w:rFonts w:hint="eastAsia" w:ascii="仿宋_GB2312" w:hAnsi="Calibri" w:eastAsia="仿宋_GB2312" w:cs="Times New Roman"/>
          <w:sz w:val="28"/>
          <w:szCs w:val="28"/>
        </w:rPr>
        <w:t>甲方必须确定</w:t>
      </w:r>
      <w:r>
        <w:rPr>
          <w:rFonts w:hint="eastAsia" w:ascii="仿宋_GB2312" w:hAnsi="Calibri" w:eastAsia="仿宋_GB2312" w:cs="Times New Roman"/>
          <w:sz w:val="28"/>
          <w:szCs w:val="28"/>
          <w:lang w:eastAsia="zh-TW"/>
        </w:rPr>
        <w:t>绑定账户的所有人为甲方本人。</w:t>
      </w:r>
    </w:p>
    <w:p>
      <w:pPr>
        <w:spacing w:line="470" w:lineRule="exact"/>
        <w:ind w:firstLine="562" w:firstLineChars="200"/>
        <w:rPr>
          <w:rFonts w:ascii="黑体" w:eastAsia="黑体"/>
          <w:sz w:val="28"/>
          <w:szCs w:val="28"/>
        </w:rPr>
      </w:pPr>
      <w:r>
        <w:rPr>
          <w:rFonts w:ascii="仿宋_GB2312" w:hAnsi="Calibri" w:eastAsia="仿宋_GB2312" w:cs="Times New Roman"/>
          <w:b/>
          <w:sz w:val="28"/>
          <w:szCs w:val="28"/>
        </w:rPr>
        <w:t>第三条</w:t>
      </w:r>
      <w:r>
        <w:rPr>
          <w:rFonts w:hint="eastAsia" w:cs="Times New Roman" w:asciiTheme="minorEastAsia" w:hAnsiTheme="minorEastAsia"/>
          <w:sz w:val="28"/>
          <w:szCs w:val="28"/>
        </w:rPr>
        <w:t xml:space="preserve">  【</w:t>
      </w:r>
      <w:r>
        <w:rPr>
          <w:rFonts w:hint="eastAsia" w:ascii="黑体" w:eastAsia="黑体"/>
          <w:sz w:val="28"/>
          <w:szCs w:val="28"/>
        </w:rPr>
        <w:t>资料要求</w:t>
      </w:r>
      <w:r>
        <w:rPr>
          <w:rFonts w:hint="eastAsia" w:cs="Times New Roman" w:asciiTheme="minorEastAsia" w:hAnsiTheme="minorEastAsia"/>
          <w:sz w:val="28"/>
          <w:szCs w:val="28"/>
        </w:rPr>
        <w:t>】</w:t>
      </w:r>
      <w:r>
        <w:rPr>
          <w:rFonts w:hint="eastAsia" w:ascii="黑体" w:eastAsia="黑体"/>
          <w:sz w:val="28"/>
          <w:szCs w:val="28"/>
        </w:rPr>
        <w:t>甲方提交开户申请时</w:t>
      </w:r>
      <w:r>
        <w:rPr>
          <w:rFonts w:hint="eastAsia" w:ascii="黑体" w:eastAsia="黑体"/>
          <w:color w:val="auto"/>
          <w:sz w:val="28"/>
          <w:szCs w:val="28"/>
        </w:rPr>
        <w:t>，通过乙方APP、微信公众号等方式向</w:t>
      </w:r>
      <w:r>
        <w:rPr>
          <w:rFonts w:hint="eastAsia" w:ascii="黑体" w:eastAsia="黑体"/>
          <w:sz w:val="28"/>
          <w:szCs w:val="28"/>
        </w:rPr>
        <w:t>乙方提供或授权通过合作方向乙方提供相应的身份识别信息和证件资料（包括姓名、</w:t>
      </w:r>
      <w:r>
        <w:rPr>
          <w:rFonts w:hint="eastAsia" w:ascii="黑体" w:eastAsia="黑体"/>
          <w:color w:val="auto"/>
          <w:sz w:val="28"/>
          <w:szCs w:val="28"/>
        </w:rPr>
        <w:t>国籍、</w:t>
      </w:r>
      <w:r>
        <w:rPr>
          <w:rFonts w:hint="eastAsia" w:ascii="黑体" w:eastAsia="黑体"/>
          <w:sz w:val="28"/>
          <w:szCs w:val="28"/>
        </w:rPr>
        <w:t>证件类型、证件号码、</w:t>
      </w:r>
      <w:r>
        <w:rPr>
          <w:rFonts w:hint="eastAsia" w:ascii="黑体" w:eastAsia="黑体"/>
          <w:color w:val="auto"/>
          <w:sz w:val="28"/>
          <w:szCs w:val="28"/>
        </w:rPr>
        <w:t>证件有效期、证件照片、发证机关、出生日期、性别、民族、职业</w:t>
      </w:r>
      <w:r>
        <w:rPr>
          <w:rFonts w:hint="eastAsia" w:ascii="黑体" w:eastAsia="黑体"/>
          <w:sz w:val="28"/>
          <w:szCs w:val="28"/>
        </w:rPr>
        <w:t>、住所地或者工作单位地址、手机号码、绑定账号、</w:t>
      </w:r>
      <w:r>
        <w:rPr>
          <w:rFonts w:hint="eastAsia" w:ascii="黑体" w:eastAsia="黑体"/>
          <w:sz w:val="28"/>
          <w:szCs w:val="28"/>
          <w:lang w:val="en-US" w:eastAsia="zh-CN"/>
        </w:rPr>
        <w:t>绑定账户</w:t>
      </w:r>
      <w:r>
        <w:rPr>
          <w:rFonts w:hint="eastAsia" w:ascii="黑体" w:eastAsia="黑体"/>
          <w:sz w:val="28"/>
          <w:szCs w:val="28"/>
        </w:rPr>
        <w:t>预留手机号、税收居民标志），并承诺为所提供的身份识别信息以及留存证件资料影像信息的真实性、完整性、合法性、有效性负责，如有违反，应承担相应责任。如甲方未按要求提供相应的身份识别信息和证件资料的，乙方有权中止或限制该账户所有业务。</w:t>
      </w:r>
    </w:p>
    <w:p>
      <w:pPr>
        <w:spacing w:line="470" w:lineRule="exact"/>
        <w:ind w:firstLine="560" w:firstLineChars="200"/>
        <w:rPr>
          <w:rFonts w:ascii="黑体" w:eastAsia="黑体"/>
          <w:sz w:val="28"/>
          <w:szCs w:val="28"/>
        </w:rPr>
      </w:pPr>
      <w:r>
        <w:rPr>
          <w:rFonts w:hint="eastAsia" w:ascii="黑体" w:eastAsia="黑体"/>
          <w:sz w:val="28"/>
          <w:szCs w:val="28"/>
        </w:rPr>
        <w:t>乙方根据《金融机构客户身份识别和客户身份资料及交易记录保存管理办法》（中国人民银行、银监会、证监会、保监会令〔2007〕第2号）保存客户身份识别资料、客户身份资料和交易记录。其中，客户身份资料自业务关系结束当年或者一次性交易记账当年计起至少保存5年。</w:t>
      </w:r>
    </w:p>
    <w:p>
      <w:pPr>
        <w:spacing w:line="470" w:lineRule="exact"/>
        <w:ind w:firstLine="560" w:firstLineChars="200"/>
        <w:rPr>
          <w:rFonts w:ascii="黑体" w:eastAsia="黑体"/>
          <w:sz w:val="28"/>
          <w:szCs w:val="28"/>
        </w:rPr>
      </w:pPr>
      <w:r>
        <w:rPr>
          <w:rFonts w:hint="eastAsia" w:ascii="黑体" w:eastAsia="黑体"/>
          <w:sz w:val="28"/>
          <w:szCs w:val="28"/>
        </w:rPr>
        <w:t>甲方同意通过合作方电子渠道办理电子账户相关业务时授权</w:t>
      </w:r>
      <w:r>
        <w:rPr>
          <w:rFonts w:hint="eastAsia" w:ascii="黑体" w:hAnsi="黑体" w:eastAsia="黑体" w:cs="Times New Roman"/>
          <w:color w:val="auto"/>
          <w:sz w:val="28"/>
          <w:szCs w:val="28"/>
        </w:rPr>
        <w:t>合作方</w:t>
      </w:r>
      <w:r>
        <w:rPr>
          <w:rFonts w:hint="eastAsia" w:ascii="黑体" w:eastAsia="黑体"/>
          <w:sz w:val="28"/>
          <w:szCs w:val="28"/>
        </w:rPr>
        <w:t>向乙方发起各项业务指令，并授权合作方将该等交易指令完整、及时、准确无误的传达给乙方。乙方接收该等交易指令后，将进行校验并完成有关交易信息业务处理，甲方同意并授权乙方将甲方在</w:t>
      </w:r>
      <w:r>
        <w:rPr>
          <w:rFonts w:hint="eastAsia" w:ascii="黑体" w:hAnsi="黑体" w:eastAsia="黑体" w:cs="Times New Roman"/>
          <w:color w:val="auto"/>
          <w:sz w:val="28"/>
          <w:szCs w:val="28"/>
        </w:rPr>
        <w:t>合作方</w:t>
      </w:r>
      <w:r>
        <w:rPr>
          <w:rFonts w:hint="eastAsia" w:ascii="黑体" w:eastAsia="黑体"/>
          <w:sz w:val="28"/>
          <w:szCs w:val="28"/>
        </w:rPr>
        <w:t>使用电子账户的有关交易信息通过加密通道传输给</w:t>
      </w:r>
      <w:r>
        <w:rPr>
          <w:rFonts w:hint="eastAsia" w:ascii="黑体" w:hAnsi="黑体" w:eastAsia="黑体" w:cs="Times New Roman"/>
          <w:color w:val="auto"/>
          <w:sz w:val="28"/>
          <w:szCs w:val="28"/>
        </w:rPr>
        <w:t>合作方</w:t>
      </w:r>
      <w:r>
        <w:rPr>
          <w:rFonts w:hint="eastAsia" w:ascii="黑体" w:eastAsia="黑体"/>
          <w:sz w:val="28"/>
          <w:szCs w:val="28"/>
        </w:rPr>
        <w:t>，包括账号（卡号）、余额、明细、账户状态和交易结果。甲方应对其发出的所有交易信息承担全部责任，并对转账</w:t>
      </w:r>
      <w:bookmarkStart w:id="0" w:name="_GoBack"/>
      <w:bookmarkEnd w:id="0"/>
      <w:r>
        <w:rPr>
          <w:rFonts w:hint="eastAsia" w:ascii="黑体" w:eastAsia="黑体"/>
          <w:sz w:val="28"/>
          <w:szCs w:val="28"/>
        </w:rPr>
        <w:t>支付款项等事由的真实性、合法性负责。乙方不承担依据甲方交易指令等甲方端来源电子数据办理的各项交易所产生的责任。</w:t>
      </w:r>
    </w:p>
    <w:p>
      <w:pPr>
        <w:spacing w:line="47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甲方签约乙方具体业务的，个人银行电子账户使用应以具体业务约定为准执行。</w:t>
      </w:r>
    </w:p>
    <w:p>
      <w:pPr>
        <w:spacing w:line="470" w:lineRule="exact"/>
        <w:ind w:firstLine="562" w:firstLineChars="200"/>
        <w:rPr>
          <w:rFonts w:ascii="仿宋_GB2312" w:hAnsi="Calibri" w:eastAsia="仿宋_GB2312" w:cs="Times New Roman"/>
          <w:sz w:val="28"/>
          <w:szCs w:val="28"/>
        </w:rPr>
      </w:pPr>
      <w:r>
        <w:rPr>
          <w:rFonts w:hint="eastAsia" w:ascii="仿宋_GB2312" w:hAnsi="Calibri" w:eastAsia="仿宋_GB2312" w:cs="Times New Roman"/>
          <w:b/>
          <w:sz w:val="28"/>
          <w:szCs w:val="28"/>
          <w:highlight w:val="none"/>
        </w:rPr>
        <w:t>第四条</w:t>
      </w:r>
      <w:r>
        <w:rPr>
          <w:rFonts w:cs="Times New Roman" w:asciiTheme="minorEastAsia" w:hAnsiTheme="minorEastAsia"/>
          <w:sz w:val="28"/>
          <w:szCs w:val="28"/>
          <w:highlight w:val="none"/>
        </w:rPr>
        <w:t xml:space="preserve">  </w:t>
      </w:r>
      <w:r>
        <w:rPr>
          <w:rFonts w:hint="eastAsia" w:cs="Times New Roman" w:asciiTheme="minorEastAsia" w:hAnsiTheme="minorEastAsia"/>
          <w:sz w:val="28"/>
          <w:szCs w:val="28"/>
          <w:highlight w:val="none"/>
        </w:rPr>
        <w:t>【</w:t>
      </w:r>
      <w:r>
        <w:rPr>
          <w:rFonts w:hint="eastAsia" w:ascii="黑体" w:eastAsia="黑体"/>
          <w:sz w:val="28"/>
          <w:szCs w:val="28"/>
        </w:rPr>
        <w:t>资料更新</w:t>
      </w:r>
      <w:r>
        <w:rPr>
          <w:rFonts w:hint="eastAsia" w:cs="Times New Roman" w:asciiTheme="minorEastAsia" w:hAnsiTheme="minorEastAsia"/>
          <w:sz w:val="28"/>
          <w:szCs w:val="28"/>
        </w:rPr>
        <w:t>】</w:t>
      </w:r>
      <w:r>
        <w:rPr>
          <w:rFonts w:hint="eastAsia" w:ascii="黑体" w:eastAsia="黑体"/>
          <w:sz w:val="28"/>
          <w:szCs w:val="28"/>
        </w:rPr>
        <w:t>甲方变更姓名、手机号、绑定卡、身份证件等个人信息时，应及时在乙方更新相关资料。因甲方未及时修改造成的后果，由甲方自行承担相关责任和损失。</w:t>
      </w:r>
    </w:p>
    <w:p>
      <w:pPr>
        <w:spacing w:line="470" w:lineRule="exact"/>
        <w:ind w:firstLine="562" w:firstLineChars="200"/>
        <w:rPr>
          <w:rFonts w:ascii="黑体" w:eastAsia="黑体"/>
          <w:sz w:val="28"/>
          <w:szCs w:val="28"/>
        </w:rPr>
      </w:pPr>
      <w:r>
        <w:rPr>
          <w:rFonts w:hint="eastAsia" w:ascii="仿宋_GB2312" w:hAnsi="Calibri" w:eastAsia="仿宋_GB2312" w:cs="Times New Roman"/>
          <w:b/>
          <w:sz w:val="28"/>
          <w:szCs w:val="28"/>
        </w:rPr>
        <w:t>第</w:t>
      </w:r>
      <w:r>
        <w:rPr>
          <w:rFonts w:hint="eastAsia" w:ascii="仿宋_GB2312" w:hAnsi="Calibri" w:eastAsia="仿宋_GB2312" w:cs="Times New Roman"/>
          <w:b/>
          <w:sz w:val="28"/>
          <w:szCs w:val="28"/>
          <w:highlight w:val="none"/>
        </w:rPr>
        <w:t>五条</w:t>
      </w:r>
      <w:r>
        <w:rPr>
          <w:rFonts w:cs="Times New Roman" w:asciiTheme="minorEastAsia" w:hAnsiTheme="minorEastAsia"/>
          <w:sz w:val="28"/>
          <w:szCs w:val="28"/>
          <w:highlight w:val="none"/>
        </w:rPr>
        <w:t xml:space="preserve">  </w:t>
      </w:r>
      <w:r>
        <w:rPr>
          <w:rFonts w:hint="eastAsia" w:cs="Times New Roman" w:asciiTheme="minorEastAsia" w:hAnsiTheme="minorEastAsia"/>
          <w:sz w:val="28"/>
          <w:szCs w:val="28"/>
          <w:highlight w:val="none"/>
        </w:rPr>
        <w:t>【</w:t>
      </w:r>
      <w:r>
        <w:rPr>
          <w:rFonts w:hint="eastAsia" w:ascii="仿宋_GB2312" w:hAnsi="Calibri" w:eastAsia="仿宋_GB2312" w:cs="Times New Roman"/>
          <w:sz w:val="28"/>
          <w:szCs w:val="28"/>
          <w:highlight w:val="none"/>
        </w:rPr>
        <w:t>密码保护</w:t>
      </w:r>
      <w:r>
        <w:rPr>
          <w:rFonts w:hint="eastAsia" w:cs="Times New Roman" w:asciiTheme="minorEastAsia" w:hAnsiTheme="minorEastAsia"/>
          <w:sz w:val="28"/>
          <w:szCs w:val="28"/>
          <w:highlight w:val="none"/>
        </w:rPr>
        <w:t>】</w:t>
      </w:r>
      <w:r>
        <w:rPr>
          <w:rFonts w:hint="eastAsia" w:ascii="仿宋_GB2312" w:hAnsi="Calibri" w:eastAsia="仿宋_GB2312" w:cs="Times New Roman"/>
          <w:sz w:val="28"/>
          <w:szCs w:val="28"/>
          <w:highlight w:val="none"/>
        </w:rPr>
        <w:t>甲方开户时，除</w:t>
      </w:r>
      <w:r>
        <w:rPr>
          <w:rFonts w:hint="eastAsia" w:ascii="黑体" w:hAnsi="黑体" w:eastAsia="黑体" w:cs="Times New Roman"/>
          <w:color w:val="auto"/>
          <w:sz w:val="28"/>
          <w:szCs w:val="28"/>
          <w:highlight w:val="none"/>
        </w:rPr>
        <w:t>合作方</w:t>
      </w:r>
      <w:r>
        <w:rPr>
          <w:rFonts w:hint="eastAsia" w:ascii="仿宋_GB2312" w:hAnsi="Calibri" w:eastAsia="仿宋_GB2312" w:cs="Times New Roman"/>
          <w:sz w:val="28"/>
          <w:szCs w:val="28"/>
          <w:highlight w:val="none"/>
        </w:rPr>
        <w:t>专用的电子账户或甲乙双方另有规定外，应根据乙方开户流程的引导，预留密码作为其本人使用个人银行电子账户的依据。甲方密码应妥善保管。</w:t>
      </w:r>
      <w:r>
        <w:rPr>
          <w:rFonts w:hint="eastAsia" w:ascii="黑体" w:eastAsia="黑体"/>
          <w:sz w:val="28"/>
          <w:szCs w:val="28"/>
          <w:highlight w:val="none"/>
        </w:rPr>
        <w:t>凡使用密码进行的支付结算交易（无磁无密交易等经甲方本人同意或者授权的指定交易除外）</w:t>
      </w:r>
      <w:r>
        <w:rPr>
          <w:rFonts w:hint="eastAsia" w:ascii="黑体" w:eastAsia="黑体"/>
          <w:sz w:val="28"/>
          <w:szCs w:val="28"/>
        </w:rPr>
        <w:t>均视为甲方本人或本人授权的合法交易。甲方需自行妥善保管密码，因甲方密码泄露造成的一切损失，由甲方本人承担。</w:t>
      </w:r>
    </w:p>
    <w:p>
      <w:pPr>
        <w:spacing w:line="470" w:lineRule="exact"/>
        <w:ind w:firstLine="562" w:firstLineChars="200"/>
        <w:rPr>
          <w:rFonts w:ascii="仿宋_GB2312" w:hAnsi="Calibri" w:eastAsia="仿宋_GB2312" w:cs="Times New Roman"/>
          <w:sz w:val="28"/>
          <w:szCs w:val="28"/>
        </w:rPr>
      </w:pPr>
      <w:r>
        <w:rPr>
          <w:rFonts w:hint="eastAsia" w:ascii="仿宋_GB2312" w:hAnsi="Calibri" w:eastAsia="仿宋_GB2312" w:cs="Times New Roman"/>
          <w:b/>
          <w:sz w:val="28"/>
          <w:szCs w:val="28"/>
        </w:rPr>
        <w:t>第六条</w:t>
      </w:r>
      <w:r>
        <w:rPr>
          <w:rFonts w:cs="Times New Roman" w:asciiTheme="minorEastAsia" w:hAnsiTheme="minorEastAsia"/>
          <w:sz w:val="28"/>
          <w:szCs w:val="28"/>
        </w:rPr>
        <w:t xml:space="preserve">  </w:t>
      </w:r>
      <w:r>
        <w:rPr>
          <w:rFonts w:hint="eastAsia" w:cs="Times New Roman" w:asciiTheme="minorEastAsia" w:hAnsiTheme="minorEastAsia"/>
          <w:sz w:val="28"/>
          <w:szCs w:val="28"/>
        </w:rPr>
        <w:t>【</w:t>
      </w:r>
      <w:r>
        <w:rPr>
          <w:rFonts w:hint="eastAsia" w:ascii="仿宋_GB2312" w:hAnsi="Calibri" w:eastAsia="仿宋_GB2312" w:cs="Times New Roman"/>
          <w:sz w:val="28"/>
          <w:szCs w:val="28"/>
        </w:rPr>
        <w:t>密码锁定</w:t>
      </w:r>
      <w:r>
        <w:rPr>
          <w:rFonts w:hint="eastAsia" w:cs="Times New Roman" w:asciiTheme="minorEastAsia" w:hAnsiTheme="minorEastAsia"/>
          <w:sz w:val="28"/>
          <w:szCs w:val="28"/>
        </w:rPr>
        <w:t>】</w:t>
      </w:r>
      <w:r>
        <w:rPr>
          <w:rFonts w:hint="eastAsia" w:ascii="仿宋_GB2312" w:hAnsi="Calibri" w:eastAsia="仿宋_GB2312" w:cs="Times New Roman"/>
          <w:sz w:val="28"/>
          <w:szCs w:val="28"/>
        </w:rPr>
        <w:t>甲方对于个人银行电子账户进行密码输入操作，同一账户连续十次输入密码不正确的，乙方有权对该账户进行锁定，限制资金交易。甲方可本人致电客服热线</w:t>
      </w:r>
      <w:r>
        <w:rPr>
          <w:rFonts w:hint="eastAsia" w:ascii="黑体" w:hAnsi="黑体" w:eastAsia="黑体"/>
          <w:sz w:val="28"/>
        </w:rPr>
        <w:t>95594</w:t>
      </w:r>
      <w:r>
        <w:rPr>
          <w:rFonts w:hint="eastAsia" w:ascii="仿宋_GB2312" w:hAnsi="Calibri" w:eastAsia="仿宋_GB2312" w:cs="Times New Roman"/>
          <w:sz w:val="28"/>
          <w:szCs w:val="28"/>
        </w:rPr>
        <w:t>申请解锁。乙方对其他渠道密码管理另有规定的，根据相应业务管理规定执行。</w:t>
      </w:r>
    </w:p>
    <w:p>
      <w:pPr>
        <w:spacing w:line="470" w:lineRule="exact"/>
        <w:ind w:firstLine="562" w:firstLineChars="200"/>
        <w:rPr>
          <w:rFonts w:ascii="黑体" w:eastAsia="黑体"/>
          <w:sz w:val="28"/>
          <w:szCs w:val="28"/>
        </w:rPr>
      </w:pPr>
      <w:r>
        <w:rPr>
          <w:rFonts w:hint="eastAsia" w:ascii="仿宋_GB2312" w:hAnsi="Calibri" w:eastAsia="仿宋_GB2312" w:cs="Times New Roman"/>
          <w:b/>
          <w:sz w:val="28"/>
          <w:szCs w:val="28"/>
        </w:rPr>
        <w:t>第七条</w:t>
      </w:r>
      <w:r>
        <w:rPr>
          <w:rFonts w:cs="Times New Roman" w:asciiTheme="minorEastAsia" w:hAnsiTheme="minorEastAsia"/>
          <w:sz w:val="28"/>
          <w:szCs w:val="28"/>
        </w:rPr>
        <w:t xml:space="preserve">  </w:t>
      </w:r>
      <w:r>
        <w:rPr>
          <w:rFonts w:hint="eastAsia" w:cs="Times New Roman" w:asciiTheme="minorEastAsia" w:hAnsiTheme="minorEastAsia"/>
          <w:sz w:val="28"/>
          <w:szCs w:val="28"/>
        </w:rPr>
        <w:t>【</w:t>
      </w:r>
      <w:r>
        <w:rPr>
          <w:rFonts w:hint="eastAsia" w:ascii="仿宋_GB2312" w:hAnsi="Calibri" w:eastAsia="仿宋_GB2312" w:cs="Times New Roman"/>
          <w:sz w:val="28"/>
          <w:szCs w:val="28"/>
        </w:rPr>
        <w:t>证件有效</w:t>
      </w:r>
      <w:r>
        <w:rPr>
          <w:rFonts w:hint="eastAsia" w:cs="Times New Roman" w:asciiTheme="minorEastAsia" w:hAnsiTheme="minorEastAsia"/>
          <w:sz w:val="28"/>
          <w:szCs w:val="28"/>
        </w:rPr>
        <w:t>】</w:t>
      </w:r>
      <w:r>
        <w:rPr>
          <w:rFonts w:hint="eastAsia" w:ascii="仿宋_GB2312" w:hAnsi="Calibri" w:eastAsia="仿宋_GB2312" w:cs="Times New Roman"/>
          <w:sz w:val="28"/>
          <w:szCs w:val="28"/>
        </w:rPr>
        <w:t>甲方办理的</w:t>
      </w:r>
      <w:r>
        <w:rPr>
          <w:rFonts w:hint="eastAsia" w:ascii="宋体" w:hAnsi="宋体" w:eastAsia="宋体" w:cs="Times New Roman"/>
          <w:sz w:val="28"/>
          <w:szCs w:val="28"/>
        </w:rPr>
        <w:t>Ⅲ</w:t>
      </w:r>
      <w:r>
        <w:rPr>
          <w:rFonts w:hint="eastAsia" w:ascii="仿宋_GB2312" w:hAnsi="Calibri" w:eastAsia="仿宋_GB2312" w:cs="Times New Roman"/>
          <w:sz w:val="28"/>
          <w:szCs w:val="28"/>
        </w:rPr>
        <w:t>类</w:t>
      </w:r>
      <w:r>
        <w:rPr>
          <w:rFonts w:ascii="仿宋_GB2312" w:hAnsi="Calibri" w:eastAsia="仿宋_GB2312" w:cs="Times New Roman"/>
          <w:sz w:val="28"/>
          <w:szCs w:val="28"/>
        </w:rPr>
        <w:t>个人银行电子账户</w:t>
      </w:r>
      <w:r>
        <w:rPr>
          <w:rFonts w:hint="eastAsia" w:ascii="仿宋_GB2312" w:hAnsi="Calibri" w:eastAsia="仿宋_GB2312" w:cs="Times New Roman"/>
          <w:sz w:val="28"/>
          <w:szCs w:val="28"/>
        </w:rPr>
        <w:t>双边收付达到规定金额的以及申请</w:t>
      </w:r>
      <w:r>
        <w:rPr>
          <w:rFonts w:hint="eastAsia" w:ascii="宋体" w:hAnsi="宋体" w:eastAsia="宋体" w:cs="Times New Roman"/>
          <w:sz w:val="28"/>
          <w:szCs w:val="28"/>
        </w:rPr>
        <w:t>Ⅲ</w:t>
      </w:r>
      <w:r>
        <w:rPr>
          <w:rFonts w:hint="eastAsia" w:ascii="仿宋_GB2312" w:hAnsi="Calibri" w:eastAsia="仿宋_GB2312" w:cs="Times New Roman"/>
          <w:sz w:val="28"/>
          <w:szCs w:val="28"/>
        </w:rPr>
        <w:t>类账户升级为</w:t>
      </w:r>
      <w:r>
        <w:rPr>
          <w:rFonts w:hint="eastAsia" w:ascii="仿宋" w:hAnsi="仿宋" w:eastAsia="仿宋" w:cs="Times New Roman"/>
          <w:sz w:val="28"/>
          <w:szCs w:val="28"/>
        </w:rPr>
        <w:t>Ⅱ</w:t>
      </w:r>
      <w:r>
        <w:rPr>
          <w:rFonts w:hint="eastAsia" w:ascii="仿宋_GB2312" w:hAnsi="Calibri" w:eastAsia="仿宋_GB2312" w:cs="Times New Roman"/>
          <w:sz w:val="28"/>
          <w:szCs w:val="28"/>
        </w:rPr>
        <w:t>类账户的，根据人民银行相关要求，在规定时间内</w:t>
      </w:r>
      <w:r>
        <w:rPr>
          <w:rFonts w:ascii="仿宋_GB2312" w:hAnsi="Calibri" w:eastAsia="仿宋_GB2312" w:cs="Times New Roman"/>
          <w:sz w:val="28"/>
          <w:szCs w:val="28"/>
        </w:rPr>
        <w:t>需向乙方提供</w:t>
      </w:r>
      <w:r>
        <w:rPr>
          <w:rFonts w:hint="eastAsia" w:ascii="仿宋_GB2312" w:hAnsi="Calibri" w:eastAsia="仿宋_GB2312" w:cs="Times New Roman"/>
          <w:sz w:val="28"/>
          <w:szCs w:val="28"/>
        </w:rPr>
        <w:t>有效</w:t>
      </w:r>
      <w:r>
        <w:rPr>
          <w:rFonts w:ascii="仿宋_GB2312" w:hAnsi="Calibri" w:eastAsia="仿宋_GB2312" w:cs="Times New Roman"/>
          <w:sz w:val="28"/>
          <w:szCs w:val="28"/>
        </w:rPr>
        <w:t>的</w:t>
      </w:r>
      <w:r>
        <w:rPr>
          <w:rFonts w:hint="eastAsia" w:ascii="仿宋_GB2312" w:hAnsi="Calibri" w:eastAsia="仿宋_GB2312" w:cs="Times New Roman"/>
          <w:sz w:val="28"/>
          <w:szCs w:val="28"/>
        </w:rPr>
        <w:t>身份证件并补充相关身份信息。</w:t>
      </w:r>
      <w:r>
        <w:rPr>
          <w:rFonts w:hint="eastAsia" w:ascii="黑体" w:eastAsia="黑体"/>
          <w:sz w:val="28"/>
          <w:szCs w:val="28"/>
        </w:rPr>
        <w:t>如甲方未按时登记身份信息、提供身份证件的，乙方有权中止或限制该账户所有业务。</w:t>
      </w:r>
    </w:p>
    <w:p>
      <w:pPr>
        <w:spacing w:line="470" w:lineRule="exact"/>
        <w:ind w:firstLine="562" w:firstLineChars="200"/>
        <w:rPr>
          <w:rFonts w:ascii="黑体" w:eastAsia="黑体"/>
          <w:sz w:val="28"/>
          <w:szCs w:val="28"/>
        </w:rPr>
      </w:pPr>
      <w:r>
        <w:rPr>
          <w:rFonts w:hint="eastAsia" w:ascii="仿宋_GB2312" w:hAnsi="Calibri" w:eastAsia="仿宋_GB2312" w:cs="Times New Roman"/>
          <w:b/>
          <w:sz w:val="28"/>
          <w:szCs w:val="28"/>
        </w:rPr>
        <w:t>第八条</w:t>
      </w:r>
      <w:r>
        <w:rPr>
          <w:rFonts w:cs="Times New Roman" w:asciiTheme="minorEastAsia" w:hAnsiTheme="minorEastAsia"/>
          <w:sz w:val="28"/>
          <w:szCs w:val="28"/>
        </w:rPr>
        <w:t xml:space="preserve">  </w:t>
      </w:r>
      <w:r>
        <w:rPr>
          <w:rFonts w:hint="eastAsia" w:cs="Times New Roman" w:asciiTheme="minorEastAsia" w:hAnsiTheme="minorEastAsia"/>
          <w:sz w:val="28"/>
          <w:szCs w:val="28"/>
        </w:rPr>
        <w:t>【</w:t>
      </w:r>
      <w:r>
        <w:rPr>
          <w:rFonts w:hint="eastAsia" w:ascii="仿宋_GB2312" w:hAnsi="Calibri" w:eastAsia="仿宋_GB2312" w:cs="Times New Roman"/>
          <w:sz w:val="28"/>
          <w:szCs w:val="28"/>
        </w:rPr>
        <w:t>证件过期影响</w:t>
      </w:r>
      <w:r>
        <w:rPr>
          <w:rFonts w:hint="eastAsia" w:cs="Times New Roman" w:asciiTheme="minorEastAsia" w:hAnsiTheme="minorEastAsia"/>
          <w:sz w:val="28"/>
          <w:szCs w:val="28"/>
        </w:rPr>
        <w:t>】</w:t>
      </w:r>
      <w:r>
        <w:rPr>
          <w:rFonts w:hint="eastAsia" w:ascii="仿宋_GB2312" w:hAnsi="Calibri" w:eastAsia="仿宋_GB2312" w:cs="Times New Roman"/>
          <w:sz w:val="28"/>
          <w:szCs w:val="28"/>
        </w:rPr>
        <w:t>如发现甲方身份证件已过有效期，乙方有权对其个人银行电子账户进行限制使用。</w:t>
      </w:r>
      <w:r>
        <w:rPr>
          <w:rFonts w:hint="eastAsia" w:ascii="黑体" w:eastAsia="黑体"/>
          <w:sz w:val="28"/>
          <w:szCs w:val="28"/>
        </w:rPr>
        <w:t>甲方同意按照乙方要求重新验证身份识别信息和身份证件，若因甲方不及时更新信息导致影响账户使用的，甲方自行承担相关责任和损失。</w:t>
      </w:r>
    </w:p>
    <w:p>
      <w:pPr>
        <w:spacing w:line="470" w:lineRule="exact"/>
        <w:ind w:firstLine="562" w:firstLineChars="200"/>
        <w:rPr>
          <w:rFonts w:ascii="黑体" w:eastAsia="黑体"/>
          <w:sz w:val="28"/>
          <w:szCs w:val="28"/>
        </w:rPr>
      </w:pPr>
      <w:r>
        <w:rPr>
          <w:rFonts w:hint="eastAsia" w:ascii="仿宋_GB2312" w:hAnsi="Calibri" w:eastAsia="仿宋_GB2312" w:cs="Times New Roman"/>
          <w:b/>
          <w:sz w:val="28"/>
          <w:szCs w:val="28"/>
        </w:rPr>
        <w:t>第九条</w:t>
      </w:r>
      <w:r>
        <w:rPr>
          <w:rFonts w:cs="Times New Roman" w:asciiTheme="minorEastAsia" w:hAnsiTheme="minorEastAsia"/>
          <w:sz w:val="28"/>
          <w:szCs w:val="28"/>
        </w:rPr>
        <w:t xml:space="preserve">  </w:t>
      </w:r>
      <w:r>
        <w:rPr>
          <w:rFonts w:hint="eastAsia" w:cs="Times New Roman" w:asciiTheme="minorEastAsia" w:hAnsiTheme="minorEastAsia"/>
          <w:sz w:val="28"/>
          <w:szCs w:val="28"/>
        </w:rPr>
        <w:t>【</w:t>
      </w:r>
      <w:r>
        <w:rPr>
          <w:rFonts w:hint="eastAsia" w:ascii="黑体" w:eastAsia="黑体"/>
          <w:sz w:val="28"/>
          <w:szCs w:val="28"/>
        </w:rPr>
        <w:t>身份识别</w:t>
      </w:r>
      <w:r>
        <w:rPr>
          <w:rFonts w:hint="eastAsia" w:cs="Times New Roman" w:asciiTheme="minorEastAsia" w:hAnsiTheme="minorEastAsia"/>
          <w:sz w:val="28"/>
          <w:szCs w:val="28"/>
        </w:rPr>
        <w:t>】</w:t>
      </w:r>
      <w:r>
        <w:rPr>
          <w:rFonts w:hint="eastAsia" w:ascii="黑体" w:eastAsia="黑体"/>
          <w:sz w:val="28"/>
          <w:szCs w:val="28"/>
        </w:rPr>
        <w:t>甲方应主动配合乙方履行客户身份识别、交易监测等反洗钱义务。乙方识别途径包括但不限于：要求甲方补充其他身份资料或者身份证明文件；回访客户；实地查访；向公安、工商行政管理等部门核实；其他可依法采取的措施。甲方</w:t>
      </w:r>
      <w:r>
        <w:rPr>
          <w:rFonts w:ascii="黑体" w:eastAsia="黑体"/>
          <w:sz w:val="28"/>
          <w:szCs w:val="28"/>
        </w:rPr>
        <w:t>不予配合的，乙方有权对</w:t>
      </w:r>
      <w:r>
        <w:rPr>
          <w:rFonts w:hint="eastAsia" w:ascii="黑体" w:eastAsia="黑体"/>
          <w:sz w:val="28"/>
          <w:szCs w:val="28"/>
        </w:rPr>
        <w:t>其个人银行电子账户</w:t>
      </w:r>
      <w:r>
        <w:rPr>
          <w:rFonts w:ascii="黑体" w:eastAsia="黑体"/>
          <w:sz w:val="28"/>
          <w:szCs w:val="28"/>
        </w:rPr>
        <w:t>采取限制措施。</w:t>
      </w:r>
    </w:p>
    <w:p>
      <w:pPr>
        <w:spacing w:line="470" w:lineRule="exact"/>
        <w:ind w:firstLine="560" w:firstLineChars="200"/>
        <w:rPr>
          <w:rFonts w:ascii="黑体" w:eastAsia="黑体"/>
          <w:sz w:val="28"/>
          <w:szCs w:val="28"/>
        </w:rPr>
      </w:pPr>
      <w:r>
        <w:rPr>
          <w:rFonts w:hint="eastAsia" w:ascii="黑体" w:eastAsia="黑体"/>
          <w:sz w:val="28"/>
          <w:szCs w:val="28"/>
        </w:rPr>
        <w:t>甲方被纳入</w:t>
      </w:r>
      <w:r>
        <w:rPr>
          <w:rFonts w:ascii="黑体" w:eastAsia="黑体"/>
          <w:sz w:val="28"/>
          <w:szCs w:val="28"/>
        </w:rPr>
        <w:t>公安机关电信网络新型违法犯罪交易风险事件管理平台</w:t>
      </w:r>
      <w:r>
        <w:rPr>
          <w:rFonts w:hint="eastAsia" w:ascii="黑体" w:eastAsia="黑体"/>
          <w:sz w:val="28"/>
          <w:szCs w:val="28"/>
        </w:rPr>
        <w:t>“涉案</w:t>
      </w:r>
      <w:r>
        <w:rPr>
          <w:rFonts w:ascii="黑体" w:eastAsia="黑体"/>
          <w:sz w:val="28"/>
          <w:szCs w:val="28"/>
        </w:rPr>
        <w:t>账户</w:t>
      </w:r>
      <w:r>
        <w:rPr>
          <w:rFonts w:hint="eastAsia" w:ascii="黑体" w:eastAsia="黑体"/>
          <w:sz w:val="28"/>
          <w:szCs w:val="28"/>
        </w:rPr>
        <w:t>”名单的</w:t>
      </w:r>
      <w:r>
        <w:rPr>
          <w:rFonts w:ascii="黑体" w:eastAsia="黑体"/>
          <w:sz w:val="28"/>
          <w:szCs w:val="28"/>
        </w:rPr>
        <w:t>，乙方有权中止该账户所有业务，并</w:t>
      </w:r>
      <w:r>
        <w:rPr>
          <w:rFonts w:hint="eastAsia" w:ascii="黑体" w:eastAsia="黑体"/>
          <w:sz w:val="28"/>
          <w:szCs w:val="28"/>
        </w:rPr>
        <w:t>对</w:t>
      </w:r>
      <w:r>
        <w:rPr>
          <w:rFonts w:ascii="黑体" w:eastAsia="黑体"/>
          <w:sz w:val="28"/>
          <w:szCs w:val="28"/>
        </w:rPr>
        <w:t>甲方重新核实身份</w:t>
      </w:r>
      <w:r>
        <w:rPr>
          <w:rFonts w:hint="eastAsia" w:ascii="黑体" w:eastAsia="黑体"/>
          <w:sz w:val="28"/>
          <w:szCs w:val="28"/>
        </w:rPr>
        <w:t>，3日内</w:t>
      </w:r>
      <w:r>
        <w:rPr>
          <w:rFonts w:ascii="黑体" w:eastAsia="黑体"/>
          <w:sz w:val="28"/>
          <w:szCs w:val="28"/>
        </w:rPr>
        <w:t>未能成功核实身份的，乙方有权</w:t>
      </w:r>
      <w:r>
        <w:rPr>
          <w:rFonts w:hint="eastAsia" w:ascii="黑体" w:eastAsia="黑体"/>
          <w:sz w:val="28"/>
          <w:szCs w:val="28"/>
        </w:rPr>
        <w:t>对</w:t>
      </w:r>
      <w:r>
        <w:rPr>
          <w:rFonts w:ascii="黑体" w:eastAsia="黑体"/>
          <w:sz w:val="28"/>
          <w:szCs w:val="28"/>
        </w:rPr>
        <w:t>甲方名下其他银行账户暂停非柜面业务。</w:t>
      </w:r>
      <w:r>
        <w:rPr>
          <w:rFonts w:hint="eastAsia" w:ascii="黑体" w:eastAsia="黑体"/>
          <w:sz w:val="28"/>
          <w:szCs w:val="28"/>
        </w:rPr>
        <w:t>乙方对</w:t>
      </w:r>
      <w:r>
        <w:rPr>
          <w:rFonts w:ascii="黑体" w:eastAsia="黑体"/>
          <w:sz w:val="28"/>
          <w:szCs w:val="28"/>
        </w:rPr>
        <w:t>发现</w:t>
      </w:r>
      <w:r>
        <w:rPr>
          <w:rFonts w:hint="eastAsia" w:ascii="黑体" w:eastAsia="黑体"/>
          <w:sz w:val="28"/>
          <w:szCs w:val="28"/>
        </w:rPr>
        <w:t>冒用</w:t>
      </w:r>
      <w:r>
        <w:rPr>
          <w:rFonts w:ascii="黑体" w:eastAsia="黑体"/>
          <w:sz w:val="28"/>
          <w:szCs w:val="28"/>
        </w:rPr>
        <w:t>他人身份</w:t>
      </w:r>
      <w:r>
        <w:rPr>
          <w:rFonts w:hint="eastAsia" w:ascii="黑体" w:eastAsia="黑体"/>
          <w:sz w:val="28"/>
          <w:szCs w:val="28"/>
        </w:rPr>
        <w:t>开立</w:t>
      </w:r>
      <w:r>
        <w:rPr>
          <w:rFonts w:ascii="黑体" w:eastAsia="黑体"/>
          <w:sz w:val="28"/>
          <w:szCs w:val="28"/>
        </w:rPr>
        <w:t>账户的</w:t>
      </w:r>
      <w:r>
        <w:rPr>
          <w:rFonts w:hint="eastAsia" w:ascii="黑体" w:eastAsia="黑体"/>
          <w:sz w:val="28"/>
          <w:szCs w:val="28"/>
        </w:rPr>
        <w:t>，有权</w:t>
      </w:r>
      <w:r>
        <w:rPr>
          <w:rFonts w:ascii="黑体" w:eastAsia="黑体"/>
          <w:sz w:val="28"/>
          <w:szCs w:val="28"/>
        </w:rPr>
        <w:t>将被冒用身份证件移交公安机关。</w:t>
      </w:r>
    </w:p>
    <w:p>
      <w:pPr>
        <w:spacing w:line="470" w:lineRule="exact"/>
        <w:ind w:firstLine="562" w:firstLineChars="200"/>
        <w:rPr>
          <w:rFonts w:ascii="黑体" w:eastAsia="黑体"/>
          <w:sz w:val="28"/>
          <w:szCs w:val="28"/>
        </w:rPr>
      </w:pPr>
      <w:r>
        <w:rPr>
          <w:rFonts w:hint="eastAsia" w:ascii="仿宋_GB2312" w:hAnsi="Calibri" w:eastAsia="仿宋_GB2312" w:cs="Times New Roman"/>
          <w:b/>
          <w:sz w:val="28"/>
          <w:szCs w:val="28"/>
        </w:rPr>
        <w:t>第十条</w:t>
      </w:r>
      <w:r>
        <w:rPr>
          <w:rFonts w:cs="Times New Roman" w:asciiTheme="minorEastAsia" w:hAnsiTheme="minorEastAsia"/>
          <w:sz w:val="28"/>
          <w:szCs w:val="28"/>
        </w:rPr>
        <w:t xml:space="preserve">  </w:t>
      </w:r>
      <w:r>
        <w:rPr>
          <w:rFonts w:hint="eastAsia" w:cs="Times New Roman" w:asciiTheme="minorEastAsia" w:hAnsiTheme="minorEastAsia"/>
          <w:sz w:val="28"/>
          <w:szCs w:val="28"/>
        </w:rPr>
        <w:t>【</w:t>
      </w:r>
      <w:r>
        <w:rPr>
          <w:rFonts w:hint="eastAsia" w:ascii="仿宋_GB2312" w:hAnsi="Calibri" w:eastAsia="仿宋_GB2312" w:cs="Times New Roman"/>
          <w:sz w:val="28"/>
          <w:szCs w:val="28"/>
        </w:rPr>
        <w:t>账户绑定</w:t>
      </w:r>
      <w:r>
        <w:rPr>
          <w:rFonts w:hint="eastAsia" w:cs="Times New Roman" w:asciiTheme="minorEastAsia" w:hAnsiTheme="minorEastAsia"/>
          <w:sz w:val="28"/>
          <w:szCs w:val="28"/>
        </w:rPr>
        <w:t>】</w:t>
      </w:r>
      <w:r>
        <w:rPr>
          <w:rFonts w:hint="eastAsia" w:ascii="仿宋_GB2312" w:hAnsi="Calibri" w:eastAsia="仿宋_GB2312" w:cs="Times New Roman"/>
          <w:sz w:val="28"/>
          <w:szCs w:val="28"/>
        </w:rPr>
        <w:t>甲方申请在乙方开立电子账户,为保证绑定账户向电子账户的资金充值,甲方授权乙方向银联等第三方清算机构发起对绑定账户资金扣划的指令。</w:t>
      </w:r>
    </w:p>
    <w:p>
      <w:pPr>
        <w:spacing w:line="470" w:lineRule="exact"/>
        <w:ind w:firstLine="562" w:firstLineChars="200"/>
        <w:rPr>
          <w:rFonts w:ascii="黑体" w:eastAsia="黑体"/>
          <w:sz w:val="28"/>
          <w:szCs w:val="28"/>
        </w:rPr>
      </w:pPr>
      <w:r>
        <w:rPr>
          <w:rFonts w:hint="eastAsia" w:ascii="仿宋_GB2312" w:hAnsi="Calibri" w:eastAsia="仿宋_GB2312" w:cs="Times New Roman"/>
          <w:b/>
          <w:sz w:val="28"/>
          <w:szCs w:val="28"/>
        </w:rPr>
        <w:t>第十一条</w:t>
      </w:r>
      <w:r>
        <w:rPr>
          <w:rFonts w:cs="Times New Roman" w:asciiTheme="minorEastAsia" w:hAnsiTheme="minorEastAsia"/>
          <w:sz w:val="28"/>
          <w:szCs w:val="28"/>
        </w:rPr>
        <w:t xml:space="preserve"> </w:t>
      </w:r>
      <w:r>
        <w:rPr>
          <w:rFonts w:hint="eastAsia" w:cs="Times New Roman" w:asciiTheme="minorEastAsia" w:hAnsiTheme="minorEastAsia"/>
          <w:sz w:val="28"/>
          <w:szCs w:val="28"/>
        </w:rPr>
        <w:t>【</w:t>
      </w:r>
      <w:r>
        <w:rPr>
          <w:rFonts w:hint="eastAsia" w:ascii="黑体" w:eastAsia="黑体"/>
          <w:sz w:val="28"/>
          <w:szCs w:val="28"/>
        </w:rPr>
        <w:t>账户限制或销户</w:t>
      </w:r>
      <w:r>
        <w:rPr>
          <w:rFonts w:hint="eastAsia" w:cs="Times New Roman" w:asciiTheme="minorEastAsia" w:hAnsiTheme="minorEastAsia"/>
          <w:sz w:val="28"/>
          <w:szCs w:val="28"/>
        </w:rPr>
        <w:t>】</w:t>
      </w:r>
      <w:r>
        <w:rPr>
          <w:rFonts w:hint="eastAsia" w:ascii="黑体" w:eastAsia="黑体"/>
          <w:sz w:val="28"/>
          <w:szCs w:val="28"/>
        </w:rPr>
        <w:t>甲方的个人银行电子账户连续6个月以上无业务发生的，乙方有权对该账户进行限制使用；如连续一年账户余额为零的，乙方有权进行销户处理。</w:t>
      </w:r>
    </w:p>
    <w:p>
      <w:pPr>
        <w:spacing w:line="470" w:lineRule="exact"/>
        <w:ind w:firstLine="560" w:firstLineChars="200"/>
        <w:rPr>
          <w:rFonts w:ascii="黑体" w:eastAsia="黑体"/>
          <w:sz w:val="28"/>
          <w:szCs w:val="28"/>
        </w:rPr>
      </w:pPr>
      <w:r>
        <w:rPr>
          <w:rFonts w:hint="eastAsia" w:ascii="黑体" w:eastAsia="黑体"/>
          <w:sz w:val="28"/>
          <w:szCs w:val="28"/>
        </w:rPr>
        <w:t>如甲方违反本协议规定、乙方/合作方业务规定或相关法律法规，乙方有权对该账户采取限制使用等限制</w:t>
      </w:r>
      <w:r>
        <w:rPr>
          <w:rFonts w:ascii="黑体" w:eastAsia="黑体"/>
          <w:sz w:val="28"/>
          <w:szCs w:val="28"/>
        </w:rPr>
        <w:t>措施</w:t>
      </w:r>
      <w:r>
        <w:rPr>
          <w:rFonts w:hint="eastAsia" w:ascii="黑体" w:eastAsia="黑体"/>
          <w:sz w:val="28"/>
          <w:szCs w:val="28"/>
        </w:rPr>
        <w:t>。</w:t>
      </w:r>
    </w:p>
    <w:p>
      <w:pPr>
        <w:spacing w:line="470" w:lineRule="exact"/>
        <w:ind w:firstLine="559" w:firstLineChars="199"/>
        <w:rPr>
          <w:rFonts w:ascii="仿宋_GB2312" w:hAnsi="Calibri" w:eastAsia="仿宋_GB2312" w:cs="Times New Roman"/>
          <w:sz w:val="28"/>
          <w:szCs w:val="28"/>
        </w:rPr>
      </w:pPr>
      <w:r>
        <w:rPr>
          <w:rFonts w:hint="eastAsia" w:ascii="仿宋_GB2312" w:hAnsi="Calibri" w:eastAsia="仿宋_GB2312" w:cs="Times New Roman"/>
          <w:b/>
          <w:sz w:val="28"/>
          <w:szCs w:val="28"/>
        </w:rPr>
        <w:t>第十二条</w:t>
      </w:r>
      <w:r>
        <w:rPr>
          <w:rFonts w:hint="eastAsia" w:cs="Times New Roman" w:asciiTheme="minorEastAsia" w:hAnsiTheme="minorEastAsia"/>
          <w:sz w:val="28"/>
          <w:szCs w:val="28"/>
        </w:rPr>
        <w:t xml:space="preserve"> 【</w:t>
      </w:r>
      <w:r>
        <w:rPr>
          <w:rFonts w:hint="eastAsia" w:ascii="仿宋_GB2312" w:hAnsi="Calibri" w:eastAsia="仿宋_GB2312" w:cs="Times New Roman"/>
          <w:sz w:val="28"/>
          <w:szCs w:val="28"/>
        </w:rPr>
        <w:t>对账</w:t>
      </w:r>
      <w:r>
        <w:rPr>
          <w:rFonts w:hint="eastAsia" w:cs="Times New Roman" w:asciiTheme="minorEastAsia" w:hAnsiTheme="minorEastAsia"/>
          <w:sz w:val="28"/>
          <w:szCs w:val="28"/>
        </w:rPr>
        <w:t>】</w:t>
      </w:r>
      <w:r>
        <w:rPr>
          <w:rFonts w:hint="eastAsia" w:ascii="仿宋_GB2312" w:hAnsi="Calibri" w:eastAsia="仿宋_GB2312" w:cs="Times New Roman"/>
          <w:sz w:val="28"/>
          <w:szCs w:val="28"/>
        </w:rPr>
        <w:t>甲方有权定期与乙方核对账务。甲方发生账务后，可及时通过</w:t>
      </w:r>
      <w:r>
        <w:rPr>
          <w:rFonts w:hint="eastAsia" w:ascii="仿宋" w:hAnsi="仿宋" w:eastAsia="仿宋"/>
          <w:sz w:val="28"/>
        </w:rPr>
        <w:t>乙方</w:t>
      </w:r>
      <w:r>
        <w:rPr>
          <w:rFonts w:ascii="仿宋" w:hAnsi="仿宋" w:eastAsia="仿宋"/>
          <w:sz w:val="28"/>
        </w:rPr>
        <w:t>客户端</w:t>
      </w:r>
      <w:r>
        <w:rPr>
          <w:rFonts w:hint="eastAsia" w:ascii="仿宋" w:hAnsi="仿宋" w:eastAsia="仿宋"/>
          <w:sz w:val="28"/>
        </w:rPr>
        <w:t>A</w:t>
      </w:r>
      <w:r>
        <w:rPr>
          <w:rFonts w:ascii="仿宋" w:hAnsi="仿宋" w:eastAsia="仿宋"/>
          <w:sz w:val="28"/>
        </w:rPr>
        <w:t>pp</w:t>
      </w:r>
      <w:r>
        <w:rPr>
          <w:rFonts w:hint="eastAsia" w:ascii="仿宋_GB2312" w:hAnsi="Calibri" w:eastAsia="仿宋_GB2312" w:cs="Times New Roman"/>
          <w:sz w:val="28"/>
          <w:szCs w:val="28"/>
        </w:rPr>
        <w:t>、合作方A</w:t>
      </w:r>
      <w:r>
        <w:rPr>
          <w:rFonts w:ascii="仿宋_GB2312" w:hAnsi="Calibri" w:eastAsia="仿宋_GB2312" w:cs="Times New Roman"/>
          <w:sz w:val="28"/>
          <w:szCs w:val="28"/>
        </w:rPr>
        <w:t>pp、</w:t>
      </w:r>
      <w:r>
        <w:rPr>
          <w:rFonts w:hint="eastAsia" w:ascii="仿宋_GB2312" w:hAnsi="Calibri" w:eastAsia="仿宋_GB2312" w:cs="Times New Roman"/>
          <w:sz w:val="28"/>
          <w:szCs w:val="28"/>
        </w:rPr>
        <w:t>致电乙方或其他可供查询的渠道核对账务，如有异议应及时向乙方提出。</w:t>
      </w:r>
    </w:p>
    <w:p>
      <w:pPr>
        <w:spacing w:line="470" w:lineRule="exact"/>
        <w:ind w:firstLine="559" w:firstLineChars="199"/>
        <w:rPr>
          <w:rFonts w:ascii="黑体" w:eastAsia="黑体"/>
          <w:sz w:val="28"/>
          <w:szCs w:val="28"/>
        </w:rPr>
      </w:pPr>
      <w:r>
        <w:rPr>
          <w:rFonts w:hint="eastAsia" w:ascii="仿宋_GB2312" w:hAnsi="Calibri" w:eastAsia="仿宋_GB2312" w:cs="Times New Roman"/>
          <w:b/>
          <w:sz w:val="28"/>
          <w:szCs w:val="28"/>
        </w:rPr>
        <w:t>第十三条</w:t>
      </w:r>
      <w:r>
        <w:rPr>
          <w:rFonts w:cs="Times New Roman" w:asciiTheme="minorEastAsia" w:hAnsiTheme="minorEastAsia"/>
          <w:sz w:val="28"/>
          <w:szCs w:val="28"/>
        </w:rPr>
        <w:t xml:space="preserve">  </w:t>
      </w:r>
      <w:r>
        <w:rPr>
          <w:rFonts w:hint="eastAsia" w:cs="Times New Roman" w:asciiTheme="minorEastAsia" w:hAnsiTheme="minorEastAsia"/>
          <w:sz w:val="28"/>
          <w:szCs w:val="28"/>
        </w:rPr>
        <w:t>【</w:t>
      </w:r>
      <w:r>
        <w:rPr>
          <w:rFonts w:hint="eastAsia" w:ascii="黑体" w:eastAsia="黑体"/>
          <w:sz w:val="28"/>
          <w:szCs w:val="28"/>
        </w:rPr>
        <w:t>费用</w:t>
      </w:r>
      <w:r>
        <w:rPr>
          <w:rFonts w:hint="eastAsia" w:cs="Times New Roman" w:asciiTheme="minorEastAsia" w:hAnsiTheme="minorEastAsia"/>
          <w:sz w:val="28"/>
          <w:szCs w:val="28"/>
        </w:rPr>
        <w:t>】</w:t>
      </w:r>
      <w:r>
        <w:rPr>
          <w:rFonts w:hint="eastAsia" w:ascii="黑体" w:eastAsia="黑体"/>
          <w:sz w:val="28"/>
          <w:szCs w:val="28"/>
        </w:rPr>
        <w:t>甲方应按照中国人民银行及《上海银行服务项目收费标准》的规定，向乙方支付各项结算及服务费用。</w:t>
      </w:r>
    </w:p>
    <w:p>
      <w:pPr>
        <w:spacing w:line="470" w:lineRule="exact"/>
        <w:ind w:firstLine="559" w:firstLineChars="199"/>
        <w:rPr>
          <w:rFonts w:ascii="黑体" w:eastAsia="黑体"/>
          <w:sz w:val="28"/>
          <w:szCs w:val="28"/>
        </w:rPr>
      </w:pPr>
      <w:r>
        <w:rPr>
          <w:rFonts w:hint="eastAsia" w:ascii="仿宋_GB2312" w:hAnsi="Calibri" w:eastAsia="仿宋_GB2312" w:cs="Times New Roman"/>
          <w:b/>
          <w:sz w:val="28"/>
          <w:szCs w:val="28"/>
        </w:rPr>
        <w:t>第十四条</w:t>
      </w:r>
      <w:r>
        <w:rPr>
          <w:rFonts w:cs="Times New Roman" w:asciiTheme="minorEastAsia" w:hAnsiTheme="minorEastAsia"/>
          <w:sz w:val="28"/>
          <w:szCs w:val="28"/>
        </w:rPr>
        <w:t xml:space="preserve">  </w:t>
      </w:r>
      <w:r>
        <w:rPr>
          <w:rFonts w:hint="eastAsia" w:cs="Times New Roman" w:asciiTheme="minorEastAsia" w:hAnsiTheme="minorEastAsia"/>
          <w:sz w:val="28"/>
          <w:szCs w:val="28"/>
        </w:rPr>
        <w:t>【</w:t>
      </w:r>
      <w:r>
        <w:rPr>
          <w:rFonts w:hint="eastAsia" w:ascii="黑体" w:eastAsia="黑体"/>
          <w:sz w:val="28"/>
          <w:szCs w:val="28"/>
        </w:rPr>
        <w:t>甲方销户</w:t>
      </w:r>
      <w:r>
        <w:rPr>
          <w:rFonts w:hint="eastAsia" w:cs="Times New Roman" w:asciiTheme="minorEastAsia" w:hAnsiTheme="minorEastAsia"/>
          <w:sz w:val="28"/>
          <w:szCs w:val="28"/>
        </w:rPr>
        <w:t>】</w:t>
      </w:r>
      <w:r>
        <w:rPr>
          <w:rFonts w:hint="eastAsia" w:ascii="黑体" w:eastAsia="黑体"/>
          <w:sz w:val="28"/>
          <w:szCs w:val="28"/>
        </w:rPr>
        <w:t>甲方撤销在乙方开立的个人银行电子账户时，须不存在任何未结清的交易，且必须与乙方核对该账户存款余额，乙方核对无误后方可办理销户手续。</w:t>
      </w:r>
    </w:p>
    <w:p>
      <w:pPr>
        <w:spacing w:line="470" w:lineRule="exact"/>
        <w:ind w:firstLine="559" w:firstLineChars="199"/>
        <w:rPr>
          <w:rFonts w:ascii="仿宋_GB2312" w:hAnsi="Calibri" w:eastAsia="仿宋_GB2312" w:cs="Times New Roman"/>
          <w:sz w:val="28"/>
          <w:szCs w:val="28"/>
        </w:rPr>
      </w:pPr>
      <w:r>
        <w:rPr>
          <w:rFonts w:hint="eastAsia" w:ascii="仿宋_GB2312" w:hAnsi="Calibri" w:eastAsia="仿宋_GB2312" w:cs="Times New Roman"/>
          <w:b/>
          <w:sz w:val="28"/>
          <w:szCs w:val="28"/>
        </w:rPr>
        <w:t>第十五条</w:t>
      </w:r>
      <w:r>
        <w:rPr>
          <w:rFonts w:cs="Times New Roman" w:asciiTheme="minorEastAsia" w:hAnsiTheme="minorEastAsia"/>
          <w:sz w:val="28"/>
          <w:szCs w:val="28"/>
        </w:rPr>
        <w:t xml:space="preserve">  </w:t>
      </w:r>
      <w:r>
        <w:rPr>
          <w:rFonts w:hint="eastAsia" w:cs="Times New Roman" w:asciiTheme="minorEastAsia" w:hAnsiTheme="minorEastAsia"/>
          <w:sz w:val="28"/>
          <w:szCs w:val="28"/>
        </w:rPr>
        <w:t>【</w:t>
      </w:r>
      <w:r>
        <w:rPr>
          <w:rFonts w:hint="eastAsia" w:ascii="仿宋_GB2312" w:hAnsi="Calibri" w:eastAsia="仿宋_GB2312" w:cs="Times New Roman"/>
          <w:sz w:val="28"/>
          <w:szCs w:val="28"/>
        </w:rPr>
        <w:t>止付</w:t>
      </w:r>
      <w:r>
        <w:rPr>
          <w:rFonts w:hint="eastAsia" w:cs="Times New Roman" w:asciiTheme="minorEastAsia" w:hAnsiTheme="minorEastAsia"/>
          <w:sz w:val="28"/>
          <w:szCs w:val="28"/>
        </w:rPr>
        <w:t>】</w:t>
      </w:r>
      <w:r>
        <w:rPr>
          <w:rFonts w:hint="eastAsia" w:ascii="仿宋_GB2312" w:hAnsi="Calibri" w:eastAsia="仿宋_GB2312" w:cs="Times New Roman"/>
          <w:sz w:val="28"/>
          <w:szCs w:val="28"/>
        </w:rPr>
        <w:t>甲方未按规定使用支付结算工具、违规使用结算服务或者未支付结算和服务费用的，乙方有权对</w:t>
      </w:r>
      <w:r>
        <w:rPr>
          <w:rFonts w:ascii="仿宋_GB2312" w:hAnsi="Calibri" w:eastAsia="仿宋_GB2312" w:cs="Times New Roman"/>
          <w:sz w:val="28"/>
          <w:szCs w:val="28"/>
        </w:rPr>
        <w:t>个人银行电子账户采取限制措施以及</w:t>
      </w:r>
      <w:r>
        <w:rPr>
          <w:rFonts w:hint="eastAsia" w:ascii="仿宋_GB2312" w:hAnsi="Calibri" w:eastAsia="仿宋_GB2312" w:cs="Times New Roman"/>
          <w:sz w:val="28"/>
          <w:szCs w:val="28"/>
        </w:rPr>
        <w:t>停止其个人银行电子账户的支付。</w:t>
      </w:r>
    </w:p>
    <w:p>
      <w:pPr>
        <w:spacing w:line="470" w:lineRule="exact"/>
        <w:ind w:firstLine="559" w:firstLineChars="199"/>
        <w:rPr>
          <w:rFonts w:ascii="黑体" w:eastAsia="黑体"/>
          <w:sz w:val="28"/>
          <w:szCs w:val="28"/>
        </w:rPr>
      </w:pPr>
      <w:r>
        <w:rPr>
          <w:rFonts w:hint="eastAsia" w:ascii="仿宋_GB2312" w:hAnsi="Calibri" w:eastAsia="仿宋_GB2312" w:cs="Times New Roman"/>
          <w:b/>
          <w:sz w:val="28"/>
          <w:szCs w:val="28"/>
        </w:rPr>
        <w:t>第十六条</w:t>
      </w:r>
      <w:r>
        <w:rPr>
          <w:rFonts w:cs="Times New Roman" w:asciiTheme="minorEastAsia" w:hAnsiTheme="minorEastAsia"/>
          <w:sz w:val="28"/>
          <w:szCs w:val="28"/>
        </w:rPr>
        <w:t xml:space="preserve">  </w:t>
      </w:r>
      <w:r>
        <w:rPr>
          <w:rFonts w:hint="eastAsia" w:cs="Times New Roman" w:asciiTheme="minorEastAsia" w:hAnsiTheme="minorEastAsia"/>
          <w:sz w:val="28"/>
          <w:szCs w:val="28"/>
        </w:rPr>
        <w:t>【</w:t>
      </w:r>
      <w:r>
        <w:rPr>
          <w:rFonts w:hint="eastAsia" w:ascii="黑体" w:eastAsia="黑体"/>
          <w:sz w:val="28"/>
          <w:szCs w:val="28"/>
        </w:rPr>
        <w:t>禁止事项</w:t>
      </w:r>
      <w:r>
        <w:rPr>
          <w:rFonts w:hint="eastAsia" w:cs="Times New Roman" w:asciiTheme="minorEastAsia" w:hAnsiTheme="minorEastAsia"/>
          <w:sz w:val="28"/>
          <w:szCs w:val="28"/>
        </w:rPr>
        <w:t>】</w:t>
      </w:r>
      <w:r>
        <w:rPr>
          <w:rFonts w:hint="eastAsia" w:ascii="黑体" w:eastAsia="黑体"/>
          <w:sz w:val="28"/>
          <w:szCs w:val="28"/>
        </w:rPr>
        <w:t>甲方不得利用在乙方开立个人银行电子账户进行偷逃税款、逃废债务、套取现金、洗钱及其他违法犯罪活动。</w:t>
      </w:r>
    </w:p>
    <w:p>
      <w:pPr>
        <w:spacing w:line="470" w:lineRule="exact"/>
        <w:ind w:firstLine="559" w:firstLineChars="199"/>
        <w:rPr>
          <w:rFonts w:ascii="黑体" w:eastAsia="黑体"/>
          <w:sz w:val="28"/>
          <w:szCs w:val="28"/>
        </w:rPr>
      </w:pPr>
      <w:r>
        <w:rPr>
          <w:rFonts w:hint="eastAsia" w:ascii="仿宋_GB2312" w:hAnsi="Calibri" w:eastAsia="仿宋_GB2312" w:cs="Times New Roman"/>
          <w:b/>
          <w:sz w:val="28"/>
          <w:szCs w:val="28"/>
        </w:rPr>
        <w:t>第十七条</w:t>
      </w:r>
      <w:r>
        <w:rPr>
          <w:rFonts w:cs="Times New Roman" w:asciiTheme="minorEastAsia" w:hAnsiTheme="minorEastAsia"/>
          <w:sz w:val="28"/>
          <w:szCs w:val="28"/>
        </w:rPr>
        <w:t xml:space="preserve">  </w:t>
      </w:r>
      <w:r>
        <w:rPr>
          <w:rFonts w:hint="eastAsia" w:cs="Times New Roman" w:asciiTheme="minorEastAsia" w:hAnsiTheme="minorEastAsia"/>
          <w:sz w:val="28"/>
          <w:szCs w:val="28"/>
        </w:rPr>
        <w:t>【</w:t>
      </w:r>
      <w:r>
        <w:rPr>
          <w:rFonts w:hint="eastAsia" w:ascii="黑体" w:eastAsia="黑体"/>
          <w:sz w:val="28"/>
          <w:szCs w:val="28"/>
        </w:rPr>
        <w:t>自用原则</w:t>
      </w:r>
      <w:r>
        <w:rPr>
          <w:rFonts w:hint="eastAsia" w:cs="Times New Roman" w:asciiTheme="minorEastAsia" w:hAnsiTheme="minorEastAsia"/>
          <w:sz w:val="28"/>
          <w:szCs w:val="28"/>
        </w:rPr>
        <w:t>】</w:t>
      </w:r>
      <w:r>
        <w:rPr>
          <w:rFonts w:hint="eastAsia" w:ascii="黑体" w:eastAsia="黑体"/>
          <w:sz w:val="28"/>
          <w:szCs w:val="28"/>
        </w:rPr>
        <w:t>甲方不得出售、出租、出借、购买在乙方开立的个人银行电子账户，不得利用在乙方开立的个人银行电子账户套取银行信用。</w:t>
      </w:r>
    </w:p>
    <w:p>
      <w:pPr>
        <w:spacing w:line="470" w:lineRule="exact"/>
        <w:ind w:firstLine="560" w:firstLineChars="200"/>
        <w:rPr>
          <w:rFonts w:ascii="黑体" w:eastAsia="黑体"/>
          <w:sz w:val="28"/>
          <w:szCs w:val="28"/>
        </w:rPr>
      </w:pPr>
      <w:r>
        <w:rPr>
          <w:rFonts w:hint="eastAsia" w:ascii="黑体" w:eastAsia="黑体"/>
          <w:sz w:val="28"/>
          <w:szCs w:val="28"/>
        </w:rPr>
        <w:t>乙方有权</w:t>
      </w:r>
      <w:r>
        <w:rPr>
          <w:rFonts w:ascii="黑体" w:eastAsia="黑体"/>
          <w:sz w:val="28"/>
          <w:szCs w:val="28"/>
        </w:rPr>
        <w:t>对公安机关认定的出租、出借、出售、购买银行账户的个人、假冒他人身份或者虚构代理关系开立银行账户或者支付账户</w:t>
      </w:r>
      <w:r>
        <w:rPr>
          <w:rFonts w:hint="eastAsia" w:ascii="黑体" w:eastAsia="黑体"/>
          <w:sz w:val="28"/>
          <w:szCs w:val="28"/>
        </w:rPr>
        <w:t>的</w:t>
      </w:r>
      <w:r>
        <w:rPr>
          <w:rFonts w:ascii="黑体" w:eastAsia="黑体"/>
          <w:sz w:val="28"/>
          <w:szCs w:val="28"/>
        </w:rPr>
        <w:t>个人</w:t>
      </w:r>
      <w:r>
        <w:rPr>
          <w:rFonts w:hint="eastAsia" w:ascii="黑体" w:eastAsia="黑体"/>
          <w:sz w:val="28"/>
          <w:szCs w:val="28"/>
        </w:rPr>
        <w:t>按照</w:t>
      </w:r>
      <w:r>
        <w:rPr>
          <w:rFonts w:ascii="黑体" w:eastAsia="黑体"/>
          <w:sz w:val="28"/>
          <w:szCs w:val="28"/>
        </w:rPr>
        <w:t>相关</w:t>
      </w:r>
      <w:r>
        <w:rPr>
          <w:rFonts w:hint="eastAsia" w:ascii="黑体" w:eastAsia="黑体"/>
          <w:sz w:val="28"/>
          <w:szCs w:val="28"/>
        </w:rPr>
        <w:t>规定采取</w:t>
      </w:r>
      <w:r>
        <w:rPr>
          <w:rFonts w:ascii="黑体" w:eastAsia="黑体"/>
          <w:sz w:val="28"/>
          <w:szCs w:val="28"/>
        </w:rPr>
        <w:t>业务限制</w:t>
      </w:r>
      <w:r>
        <w:rPr>
          <w:rFonts w:hint="eastAsia" w:ascii="黑体" w:eastAsia="黑体"/>
          <w:sz w:val="28"/>
          <w:szCs w:val="28"/>
        </w:rPr>
        <w:t>措施。</w:t>
      </w:r>
    </w:p>
    <w:p>
      <w:pPr>
        <w:spacing w:line="470" w:lineRule="exact"/>
        <w:ind w:firstLine="559" w:firstLineChars="199"/>
        <w:rPr>
          <w:rFonts w:ascii="黑体" w:eastAsia="黑体"/>
          <w:sz w:val="28"/>
          <w:szCs w:val="28"/>
        </w:rPr>
      </w:pPr>
      <w:r>
        <w:rPr>
          <w:rFonts w:hint="eastAsia" w:ascii="仿宋_GB2312" w:hAnsi="Calibri" w:eastAsia="仿宋_GB2312" w:cs="Times New Roman"/>
          <w:b/>
          <w:sz w:val="28"/>
          <w:szCs w:val="28"/>
        </w:rPr>
        <w:t>第十八条</w:t>
      </w:r>
      <w:r>
        <w:rPr>
          <w:rFonts w:cs="Times New Roman" w:asciiTheme="minorEastAsia" w:hAnsiTheme="minorEastAsia"/>
          <w:sz w:val="28"/>
          <w:szCs w:val="28"/>
        </w:rPr>
        <w:t xml:space="preserve">  </w:t>
      </w:r>
      <w:r>
        <w:rPr>
          <w:rFonts w:hint="eastAsia" w:cs="Times New Roman" w:asciiTheme="minorEastAsia" w:hAnsiTheme="minorEastAsia"/>
          <w:sz w:val="28"/>
          <w:szCs w:val="28"/>
        </w:rPr>
        <w:t>【</w:t>
      </w:r>
      <w:r>
        <w:rPr>
          <w:rFonts w:hint="eastAsia" w:ascii="黑体" w:eastAsia="黑体"/>
          <w:sz w:val="28"/>
          <w:szCs w:val="28"/>
        </w:rPr>
        <w:t>资金合法</w:t>
      </w:r>
      <w:r>
        <w:rPr>
          <w:rFonts w:hint="eastAsia" w:cs="Times New Roman" w:asciiTheme="minorEastAsia" w:hAnsiTheme="minorEastAsia"/>
          <w:sz w:val="28"/>
          <w:szCs w:val="28"/>
        </w:rPr>
        <w:t>】</w:t>
      </w:r>
      <w:r>
        <w:rPr>
          <w:rFonts w:hint="eastAsia" w:ascii="黑体" w:eastAsia="黑体"/>
          <w:sz w:val="28"/>
          <w:szCs w:val="28"/>
        </w:rPr>
        <w:t>甲方在乙方开立账户时，承诺与乙方开展包括跨境人民币业务在内的任何业务及该业务相关的一切主体、资金、交易不涉及洗钱、恐怖融资、逃税等违法犯罪行为，切实履行反洗钱、反恐融资和反逃税的义务和职责，包括但不限于以下内容：</w:t>
      </w:r>
    </w:p>
    <w:p>
      <w:pPr>
        <w:spacing w:line="470" w:lineRule="exact"/>
        <w:ind w:firstLine="557" w:firstLineChars="199"/>
        <w:rPr>
          <w:rFonts w:ascii="黑体" w:eastAsia="黑体"/>
          <w:sz w:val="28"/>
          <w:szCs w:val="28"/>
        </w:rPr>
      </w:pPr>
      <w:r>
        <w:rPr>
          <w:rFonts w:hint="eastAsia" w:ascii="黑体" w:eastAsia="黑体"/>
          <w:sz w:val="28"/>
          <w:szCs w:val="28"/>
        </w:rPr>
        <w:t>（一）业务涉及的资金来源合法；</w:t>
      </w:r>
    </w:p>
    <w:p>
      <w:pPr>
        <w:spacing w:line="470" w:lineRule="exact"/>
        <w:ind w:firstLine="557" w:firstLineChars="199"/>
        <w:rPr>
          <w:rFonts w:ascii="黑体" w:eastAsia="黑体"/>
          <w:sz w:val="28"/>
          <w:szCs w:val="28"/>
        </w:rPr>
      </w:pPr>
      <w:r>
        <w:rPr>
          <w:rFonts w:hint="eastAsia" w:ascii="黑体" w:eastAsia="黑体"/>
          <w:sz w:val="28"/>
          <w:szCs w:val="28"/>
        </w:rPr>
        <w:t>（二）业务涉及的交易背景及资金用途真实、合法，不涉及洗钱、恐怖融资、逃税等非法目的；</w:t>
      </w:r>
    </w:p>
    <w:p>
      <w:pPr>
        <w:spacing w:line="470" w:lineRule="exact"/>
        <w:ind w:firstLine="557" w:firstLineChars="199"/>
        <w:rPr>
          <w:rFonts w:ascii="黑体" w:eastAsia="黑体"/>
          <w:sz w:val="28"/>
          <w:szCs w:val="28"/>
        </w:rPr>
      </w:pPr>
      <w:r>
        <w:rPr>
          <w:rFonts w:hint="eastAsia" w:ascii="黑体" w:eastAsia="黑体"/>
          <w:sz w:val="28"/>
          <w:szCs w:val="28"/>
        </w:rPr>
        <w:t>（三）严格遵守国家有关税务的法律法规及相关规定，履行依法纳税的义务与责任；</w:t>
      </w:r>
    </w:p>
    <w:p>
      <w:pPr>
        <w:spacing w:line="470" w:lineRule="exact"/>
        <w:ind w:firstLine="557" w:firstLineChars="199"/>
        <w:rPr>
          <w:rFonts w:ascii="黑体" w:eastAsia="黑体"/>
          <w:sz w:val="28"/>
          <w:szCs w:val="28"/>
        </w:rPr>
      </w:pPr>
      <w:r>
        <w:rPr>
          <w:rFonts w:hint="eastAsia" w:ascii="黑体" w:eastAsia="黑体"/>
          <w:sz w:val="28"/>
          <w:szCs w:val="28"/>
        </w:rPr>
        <w:t>（四）保留业务可能涉及的文件、协议、交易等的相关记录和凭证；</w:t>
      </w:r>
    </w:p>
    <w:p>
      <w:pPr>
        <w:spacing w:line="470" w:lineRule="exact"/>
        <w:ind w:firstLine="557" w:firstLineChars="199"/>
        <w:rPr>
          <w:rFonts w:ascii="黑体" w:eastAsia="黑体"/>
          <w:sz w:val="28"/>
          <w:szCs w:val="28"/>
        </w:rPr>
      </w:pPr>
      <w:r>
        <w:rPr>
          <w:rFonts w:hint="eastAsia" w:ascii="黑体" w:eastAsia="黑体"/>
          <w:sz w:val="28"/>
          <w:szCs w:val="28"/>
        </w:rPr>
        <w:t>（五）发现有涉及洗钱、恐怖融资、逃税等违法犯罪行为的，应及时向有权机关进行报告，积极配合有权机关的检查与调查工作。对于列入</w:t>
      </w:r>
      <w:r>
        <w:rPr>
          <w:rFonts w:ascii="黑体" w:eastAsia="黑体"/>
          <w:sz w:val="28"/>
          <w:szCs w:val="28"/>
        </w:rPr>
        <w:t>可疑交易的账户，</w:t>
      </w:r>
      <w:r>
        <w:rPr>
          <w:rFonts w:hint="eastAsia" w:ascii="黑体" w:eastAsia="黑体"/>
          <w:sz w:val="28"/>
          <w:szCs w:val="28"/>
        </w:rPr>
        <w:t>甲方</w:t>
      </w:r>
      <w:r>
        <w:rPr>
          <w:rFonts w:ascii="黑体" w:eastAsia="黑体"/>
          <w:sz w:val="28"/>
          <w:szCs w:val="28"/>
        </w:rPr>
        <w:t>应配合乙方对交易进行核实，乙方核实后仍然</w:t>
      </w:r>
      <w:r>
        <w:rPr>
          <w:rFonts w:hint="eastAsia" w:ascii="黑体" w:eastAsia="黑体"/>
          <w:sz w:val="28"/>
          <w:szCs w:val="28"/>
        </w:rPr>
        <w:t>认定</w:t>
      </w:r>
      <w:r>
        <w:rPr>
          <w:rFonts w:ascii="黑体" w:eastAsia="黑体"/>
          <w:sz w:val="28"/>
          <w:szCs w:val="28"/>
        </w:rPr>
        <w:t>账户可疑的，乙方可以</w:t>
      </w:r>
      <w:r>
        <w:rPr>
          <w:rFonts w:hint="eastAsia" w:ascii="黑体" w:eastAsia="黑体"/>
          <w:sz w:val="28"/>
          <w:szCs w:val="28"/>
        </w:rPr>
        <w:t>暂停</w:t>
      </w:r>
      <w:r>
        <w:rPr>
          <w:rFonts w:ascii="黑体" w:eastAsia="黑体"/>
          <w:sz w:val="28"/>
          <w:szCs w:val="28"/>
        </w:rPr>
        <w:t>账户非柜面业务并向公安机关报告。</w:t>
      </w:r>
    </w:p>
    <w:p>
      <w:pPr>
        <w:spacing w:line="470" w:lineRule="exact"/>
        <w:ind w:firstLine="559" w:firstLineChars="199"/>
        <w:rPr>
          <w:rFonts w:ascii="黑体" w:eastAsia="黑体"/>
          <w:sz w:val="28"/>
          <w:szCs w:val="28"/>
        </w:rPr>
      </w:pPr>
      <w:r>
        <w:rPr>
          <w:rFonts w:hint="eastAsia" w:ascii="仿宋_GB2312" w:hAnsi="Calibri" w:eastAsia="仿宋_GB2312" w:cs="Times New Roman"/>
          <w:b/>
          <w:sz w:val="28"/>
          <w:szCs w:val="28"/>
        </w:rPr>
        <w:t>第十九条</w:t>
      </w:r>
      <w:r>
        <w:rPr>
          <w:rFonts w:cs="Times New Roman" w:asciiTheme="minorEastAsia" w:hAnsiTheme="minorEastAsia"/>
          <w:sz w:val="28"/>
          <w:szCs w:val="28"/>
        </w:rPr>
        <w:t xml:space="preserve">  </w:t>
      </w:r>
      <w:r>
        <w:rPr>
          <w:rFonts w:hint="eastAsia" w:cs="Times New Roman" w:asciiTheme="minorEastAsia" w:hAnsiTheme="minorEastAsia"/>
          <w:sz w:val="28"/>
          <w:szCs w:val="28"/>
        </w:rPr>
        <w:t>【</w:t>
      </w:r>
      <w:r>
        <w:rPr>
          <w:rFonts w:hint="eastAsia" w:ascii="黑体" w:eastAsia="黑体"/>
          <w:sz w:val="28"/>
          <w:szCs w:val="28"/>
        </w:rPr>
        <w:t>交易异常</w:t>
      </w:r>
      <w:r>
        <w:rPr>
          <w:rFonts w:hint="eastAsia" w:cs="Times New Roman" w:asciiTheme="minorEastAsia" w:hAnsiTheme="minorEastAsia"/>
          <w:sz w:val="28"/>
          <w:szCs w:val="28"/>
        </w:rPr>
        <w:t>】</w:t>
      </w:r>
      <w:r>
        <w:rPr>
          <w:rFonts w:hint="eastAsia" w:ascii="黑体" w:eastAsia="黑体"/>
          <w:sz w:val="28"/>
          <w:szCs w:val="28"/>
        </w:rPr>
        <w:t>甲方账户交易异常或乙方有合理理由怀疑甲方涉嫌洗钱、恐怖融资、逃税等违法犯罪行为，或涉及国际组织、当地监管、有关外国政府等制裁或其他违反法律法规及监管要求的行为，乙方有权延长其账户资金存放期限，或停止其个人银行电子账户的支付、停止为甲方提供任何账户服务、或者注销其个人银行电子账户并终止本协议，并有权采取法律法规规定的其他救济措施。</w:t>
      </w:r>
    </w:p>
    <w:p>
      <w:pPr>
        <w:spacing w:line="470" w:lineRule="exact"/>
        <w:ind w:firstLine="559" w:firstLineChars="199"/>
        <w:rPr>
          <w:rFonts w:ascii="仿宋_GB2312" w:hAnsi="Calibri" w:eastAsia="仿宋_GB2312" w:cs="Times New Roman"/>
          <w:sz w:val="28"/>
          <w:szCs w:val="28"/>
        </w:rPr>
      </w:pPr>
      <w:r>
        <w:rPr>
          <w:rFonts w:hint="eastAsia" w:ascii="仿宋_GB2312" w:hAnsi="Calibri" w:eastAsia="仿宋_GB2312" w:cs="Times New Roman"/>
          <w:b/>
          <w:sz w:val="28"/>
          <w:szCs w:val="28"/>
        </w:rPr>
        <w:t>第二十条</w:t>
      </w:r>
      <w:r>
        <w:rPr>
          <w:rFonts w:cs="Times New Roman" w:asciiTheme="minorEastAsia" w:hAnsiTheme="minorEastAsia"/>
          <w:sz w:val="28"/>
          <w:szCs w:val="28"/>
        </w:rPr>
        <w:t xml:space="preserve">  </w:t>
      </w:r>
      <w:r>
        <w:rPr>
          <w:rFonts w:hint="eastAsia" w:cs="Times New Roman" w:asciiTheme="minorEastAsia" w:hAnsiTheme="minorEastAsia"/>
          <w:sz w:val="28"/>
          <w:szCs w:val="28"/>
        </w:rPr>
        <w:t>【</w:t>
      </w:r>
      <w:r>
        <w:rPr>
          <w:rFonts w:hint="eastAsia" w:ascii="仿宋_GB2312" w:hAnsi="Calibri" w:eastAsia="仿宋_GB2312" w:cs="Times New Roman"/>
          <w:sz w:val="28"/>
          <w:szCs w:val="28"/>
        </w:rPr>
        <w:t>安全</w:t>
      </w:r>
      <w:r>
        <w:rPr>
          <w:rFonts w:hint="eastAsia" w:cs="Times New Roman" w:asciiTheme="minorEastAsia" w:hAnsiTheme="minorEastAsia"/>
          <w:sz w:val="28"/>
          <w:szCs w:val="28"/>
        </w:rPr>
        <w:t>】</w:t>
      </w:r>
      <w:r>
        <w:rPr>
          <w:rFonts w:hint="eastAsia" w:ascii="仿宋_GB2312" w:hAnsi="Calibri" w:eastAsia="仿宋_GB2312" w:cs="Times New Roman"/>
          <w:sz w:val="28"/>
          <w:szCs w:val="28"/>
        </w:rPr>
        <w:t>乙方依法保障甲方的资金安全，并依法为甲方的申请信息和个人银行电子账户资料保密。除国家法律法规另有规定外，乙方有权拒绝任何单位或个人查询。</w:t>
      </w:r>
    </w:p>
    <w:p>
      <w:pPr>
        <w:pStyle w:val="38"/>
        <w:spacing w:afterLines="0" w:line="380" w:lineRule="exact"/>
        <w:ind w:firstLine="562"/>
        <w:jc w:val="left"/>
        <w:rPr>
          <w:rFonts w:ascii="黑体" w:hAnsi="黑体" w:eastAsia="黑体"/>
          <w:sz w:val="28"/>
        </w:rPr>
      </w:pPr>
      <w:r>
        <w:rPr>
          <w:rFonts w:hint="eastAsia" w:ascii="仿宋_GB2312" w:hAnsi="Calibri" w:eastAsia="仿宋_GB2312"/>
          <w:b/>
          <w:sz w:val="28"/>
          <w:szCs w:val="28"/>
        </w:rPr>
        <w:t>第二十一条</w:t>
      </w:r>
      <w:r>
        <w:rPr>
          <w:rFonts w:asciiTheme="minorEastAsia" w:hAnsiTheme="minorEastAsia"/>
          <w:sz w:val="28"/>
          <w:szCs w:val="28"/>
        </w:rPr>
        <w:t xml:space="preserve">  </w:t>
      </w:r>
      <w:r>
        <w:rPr>
          <w:rFonts w:hint="eastAsia" w:asciiTheme="minorEastAsia" w:hAnsiTheme="minorEastAsia"/>
          <w:sz w:val="28"/>
          <w:szCs w:val="28"/>
        </w:rPr>
        <w:t>【</w:t>
      </w:r>
      <w:r>
        <w:rPr>
          <w:rFonts w:hint="eastAsia" w:ascii="黑体" w:hAnsi="黑体" w:eastAsia="黑体"/>
          <w:sz w:val="28"/>
        </w:rPr>
        <w:t>授权】</w:t>
      </w:r>
      <w:r>
        <w:rPr>
          <w:rFonts w:hint="eastAsia" w:ascii="黑体" w:hAnsi="黑体" w:eastAsia="黑体"/>
          <w:sz w:val="28"/>
          <w:szCs w:val="28"/>
        </w:rPr>
        <w:t>甲方对于乙方和合作方基于了解甲方的业务需求、为甲方提供更优质服务和产品等目的，处理甲方个人信息的授权情况，以下文《个人信息处理授权书》约定为准。</w:t>
      </w:r>
    </w:p>
    <w:p>
      <w:pPr>
        <w:spacing w:line="470" w:lineRule="exact"/>
        <w:ind w:firstLine="559" w:firstLineChars="199"/>
        <w:rPr>
          <w:rFonts w:ascii="黑体" w:hAnsi="黑体" w:eastAsia="黑体" w:cs="Times New Roman"/>
          <w:sz w:val="28"/>
          <w:szCs w:val="28"/>
        </w:rPr>
      </w:pPr>
      <w:r>
        <w:rPr>
          <w:rFonts w:hint="eastAsia" w:ascii="仿宋_GB2312" w:hAnsi="Calibri" w:eastAsia="仿宋_GB2312" w:cs="Times New Roman"/>
          <w:b/>
          <w:sz w:val="28"/>
          <w:szCs w:val="28"/>
        </w:rPr>
        <w:t>第二十二条</w:t>
      </w:r>
      <w:r>
        <w:rPr>
          <w:rFonts w:hint="eastAsia" w:ascii="黑体" w:hAnsi="黑体" w:eastAsia="黑体" w:cs="Times New Roman"/>
          <w:sz w:val="28"/>
          <w:szCs w:val="28"/>
        </w:rPr>
        <w:t xml:space="preserve"> </w:t>
      </w:r>
      <w:r>
        <w:rPr>
          <w:rFonts w:hint="eastAsia" w:cs="Times New Roman" w:asciiTheme="minorEastAsia" w:hAnsiTheme="minorEastAsia"/>
          <w:sz w:val="28"/>
          <w:szCs w:val="28"/>
        </w:rPr>
        <w:t>【</w:t>
      </w:r>
      <w:r>
        <w:rPr>
          <w:rFonts w:hint="eastAsia" w:ascii="黑体" w:hAnsi="黑体" w:eastAsia="黑体"/>
          <w:sz w:val="28"/>
        </w:rPr>
        <w:t>通知送达】</w:t>
      </w:r>
      <w:r>
        <w:rPr>
          <w:rFonts w:hint="eastAsia" w:ascii="黑体" w:hAnsi="黑体" w:eastAsia="黑体" w:cs="Times New Roman"/>
          <w:sz w:val="28"/>
          <w:szCs w:val="28"/>
        </w:rPr>
        <w:t>甲方知晓并同意，甲方在乙方或</w:t>
      </w:r>
      <w:r>
        <w:rPr>
          <w:rFonts w:hint="eastAsia" w:ascii="黑体" w:hAnsi="黑体" w:eastAsia="黑体" w:cs="Times New Roman"/>
          <w:color w:val="auto"/>
          <w:sz w:val="28"/>
          <w:szCs w:val="28"/>
        </w:rPr>
        <w:t>合作方</w:t>
      </w:r>
      <w:r>
        <w:rPr>
          <w:rFonts w:hint="eastAsia" w:ascii="黑体" w:hAnsi="黑体" w:eastAsia="黑体" w:cs="Times New Roman"/>
          <w:sz w:val="28"/>
          <w:szCs w:val="28"/>
        </w:rPr>
        <w:t>进行的个人银行电子账户线上提交文件、参与业务流程处理并获得服务，均以乙方提供的个人银行电子账户或线上系统记录作为各方法律关系成立的依据及本协议履行的相关证据。本协议各方系通过乙方或合作方进行的线上系统开展本协议项下业务的，则各方通过该等个人银行电子账户或线上系统相互进行的通讯，在相应信息成功发送后亦视为有效送达（除非乙方有其他明显证据证明该通知未成功送达）。</w:t>
      </w:r>
    </w:p>
    <w:p>
      <w:pPr>
        <w:spacing w:line="470" w:lineRule="exact"/>
        <w:ind w:firstLine="557" w:firstLineChars="199"/>
        <w:rPr>
          <w:rFonts w:ascii="仿宋_GB2312" w:hAnsi="Calibri" w:eastAsia="仿宋_GB2312" w:cs="Times New Roman"/>
          <w:sz w:val="28"/>
          <w:szCs w:val="28"/>
        </w:rPr>
      </w:pPr>
      <w:r>
        <w:rPr>
          <w:rFonts w:hint="eastAsia" w:ascii="仿宋_GB2312" w:hAnsi="Calibri" w:eastAsia="仿宋_GB2312" w:cs="Times New Roman"/>
          <w:sz w:val="28"/>
          <w:szCs w:val="28"/>
        </w:rPr>
        <w:t>乙方有关事项的通知、协议等文件以及就合同发生纠纷时相关文件和法律文书送达，可以通过邮寄</w:t>
      </w:r>
      <w:r>
        <w:rPr>
          <w:rFonts w:ascii="仿宋_GB2312" w:hAnsi="Calibri" w:eastAsia="仿宋_GB2312" w:cs="Times New Roman"/>
          <w:sz w:val="28"/>
          <w:szCs w:val="28"/>
        </w:rPr>
        <w:t>、</w:t>
      </w:r>
      <w:r>
        <w:rPr>
          <w:rFonts w:hint="eastAsia" w:ascii="仿宋_GB2312" w:hAnsi="Calibri" w:eastAsia="仿宋_GB2312" w:cs="Times New Roman"/>
          <w:sz w:val="28"/>
          <w:szCs w:val="28"/>
        </w:rPr>
        <w:t>电子设备终端等方式按甲方向乙方</w:t>
      </w:r>
      <w:r>
        <w:rPr>
          <w:rFonts w:ascii="仿宋_GB2312" w:hAnsi="Calibri" w:eastAsia="仿宋_GB2312" w:cs="Times New Roman"/>
          <w:sz w:val="28"/>
          <w:szCs w:val="28"/>
        </w:rPr>
        <w:t>提供的联系</w:t>
      </w:r>
      <w:r>
        <w:rPr>
          <w:rFonts w:hint="eastAsia" w:ascii="仿宋_GB2312" w:hAnsi="Calibri" w:eastAsia="仿宋_GB2312" w:cs="Times New Roman"/>
          <w:sz w:val="28"/>
          <w:szCs w:val="28"/>
        </w:rPr>
        <w:t>地址</w:t>
      </w:r>
      <w:r>
        <w:rPr>
          <w:rFonts w:ascii="仿宋_GB2312" w:hAnsi="Calibri" w:eastAsia="仿宋_GB2312" w:cs="Times New Roman"/>
          <w:sz w:val="28"/>
          <w:szCs w:val="28"/>
        </w:rPr>
        <w:t>进行送达</w:t>
      </w:r>
      <w:r>
        <w:rPr>
          <w:rFonts w:hint="eastAsia" w:ascii="仿宋_GB2312" w:hAnsi="Calibri" w:eastAsia="仿宋_GB2312" w:cs="Times New Roman"/>
          <w:sz w:val="28"/>
          <w:szCs w:val="28"/>
        </w:rPr>
        <w:t>，上述送达地址的适用范围包括非诉阶段和争议进入诉讼程序后的一审、二审、再审和执行程序。</w:t>
      </w:r>
      <w:r>
        <w:rPr>
          <w:rFonts w:ascii="仿宋_GB2312" w:hAnsi="Calibri" w:eastAsia="仿宋_GB2312" w:cs="Times New Roman"/>
          <w:sz w:val="28"/>
          <w:szCs w:val="28"/>
        </w:rPr>
        <w:t xml:space="preserve"> </w:t>
      </w:r>
    </w:p>
    <w:p>
      <w:pPr>
        <w:spacing w:line="470" w:lineRule="exact"/>
        <w:ind w:firstLine="557" w:firstLineChars="199"/>
        <w:rPr>
          <w:rFonts w:ascii="仿宋_GB2312" w:hAnsi="Calibri" w:eastAsia="仿宋_GB2312" w:cs="Times New Roman"/>
          <w:sz w:val="28"/>
          <w:szCs w:val="28"/>
        </w:rPr>
      </w:pPr>
      <w:r>
        <w:rPr>
          <w:rFonts w:hint="eastAsia" w:ascii="仿宋_GB2312" w:hAnsi="Calibri" w:eastAsia="仿宋_GB2312" w:cs="Times New Roman"/>
          <w:sz w:val="28"/>
          <w:szCs w:val="28"/>
        </w:rPr>
        <w:t>甲方送达地址等任一事项发生变更的，应最迟于两个工作日内书面通知乙方。</w:t>
      </w:r>
    </w:p>
    <w:p>
      <w:pPr>
        <w:spacing w:line="470" w:lineRule="exact"/>
        <w:ind w:firstLine="557" w:firstLineChars="199"/>
        <w:rPr>
          <w:rFonts w:ascii="仿宋_GB2312" w:hAnsi="Calibri" w:eastAsia="仿宋_GB2312" w:cs="Times New Roman"/>
          <w:sz w:val="28"/>
          <w:szCs w:val="28"/>
        </w:rPr>
      </w:pPr>
      <w:r>
        <w:rPr>
          <w:rFonts w:hint="eastAsia" w:ascii="仿宋_GB2312" w:hAnsi="Calibri" w:eastAsia="仿宋_GB2312" w:cs="Times New Roman"/>
          <w:sz w:val="28"/>
          <w:szCs w:val="28"/>
        </w:rPr>
        <w:t>甲方未按前述方式履行通知义务，其所确认的送达地址仍视为有效送达地址。若甲方送达地址变更未及时通知乙方，乙方按原送达地址送达的，或因甲方提供的变更送达地址不准确导致被退回的，均视为已送达。</w:t>
      </w:r>
    </w:p>
    <w:p>
      <w:pPr>
        <w:spacing w:line="470" w:lineRule="exact"/>
        <w:ind w:firstLine="557" w:firstLineChars="199"/>
        <w:rPr>
          <w:rFonts w:ascii="仿宋_GB2312" w:hAnsi="Calibri" w:eastAsia="仿宋_GB2312" w:cs="Times New Roman"/>
          <w:sz w:val="28"/>
          <w:szCs w:val="28"/>
        </w:rPr>
      </w:pPr>
      <w:r>
        <w:rPr>
          <w:rFonts w:hint="eastAsia" w:ascii="仿宋_GB2312" w:hAnsi="Calibri" w:eastAsia="仿宋_GB2312" w:cs="Times New Roman"/>
          <w:sz w:val="28"/>
          <w:szCs w:val="28"/>
        </w:rPr>
        <w:t>按本协议中约定的通知方式，邮寄送达的，送达日为投寄挂号信邮戳之日；专程送达的，送达日为收件人签收之日；采用电报、传真方式送达的，送达日为电报、传真到达对方之日；采用电子设备终端方式送达的，送达日为发件人发出之日。</w:t>
      </w:r>
    </w:p>
    <w:p>
      <w:pPr>
        <w:spacing w:line="470" w:lineRule="exact"/>
        <w:ind w:firstLine="559" w:firstLineChars="199"/>
        <w:rPr>
          <w:rFonts w:ascii="仿宋_GB2312" w:hAnsi="Calibri" w:eastAsia="仿宋_GB2312" w:cs="Times New Roman"/>
          <w:sz w:val="28"/>
          <w:szCs w:val="28"/>
        </w:rPr>
      </w:pPr>
      <w:r>
        <w:rPr>
          <w:rFonts w:hint="eastAsia" w:ascii="仿宋_GB2312" w:hAnsi="Calibri" w:eastAsia="仿宋_GB2312" w:cs="Times New Roman"/>
          <w:b/>
          <w:sz w:val="28"/>
          <w:szCs w:val="28"/>
        </w:rPr>
        <w:t>第二十三条</w:t>
      </w:r>
      <w:r>
        <w:rPr>
          <w:rFonts w:cs="Times New Roman" w:asciiTheme="minorEastAsia" w:hAnsiTheme="minorEastAsia"/>
          <w:sz w:val="28"/>
          <w:szCs w:val="28"/>
        </w:rPr>
        <w:t xml:space="preserve">  </w:t>
      </w:r>
      <w:r>
        <w:rPr>
          <w:rFonts w:hint="eastAsia" w:cs="Times New Roman" w:asciiTheme="minorEastAsia" w:hAnsiTheme="minorEastAsia"/>
          <w:sz w:val="28"/>
          <w:szCs w:val="28"/>
        </w:rPr>
        <w:t>【</w:t>
      </w:r>
      <w:r>
        <w:rPr>
          <w:rFonts w:hint="eastAsia" w:ascii="仿宋_GB2312" w:hAnsi="Calibri" w:eastAsia="仿宋_GB2312" w:cs="Times New Roman"/>
          <w:sz w:val="28"/>
          <w:szCs w:val="28"/>
        </w:rPr>
        <w:t>误划处理</w:t>
      </w:r>
      <w:r>
        <w:rPr>
          <w:rFonts w:hint="eastAsia" w:cs="Times New Roman" w:asciiTheme="minorEastAsia" w:hAnsiTheme="minorEastAsia"/>
          <w:sz w:val="28"/>
          <w:szCs w:val="28"/>
        </w:rPr>
        <w:t>】</w:t>
      </w:r>
      <w:r>
        <w:rPr>
          <w:rFonts w:hint="eastAsia" w:ascii="仿宋_GB2312" w:hAnsi="Calibri" w:eastAsia="仿宋_GB2312" w:cs="Times New Roman"/>
          <w:sz w:val="28"/>
          <w:szCs w:val="28"/>
        </w:rPr>
        <w:t>对于乙方操作原因，将不属于甲方的款项误划入甲方个人银行电子账户的，乙方有权自行划回相应款项且无义务通知甲方。</w:t>
      </w:r>
    </w:p>
    <w:p>
      <w:pPr>
        <w:spacing w:line="470" w:lineRule="exact"/>
        <w:ind w:firstLine="562"/>
        <w:rPr>
          <w:rFonts w:ascii="仿宋_GB2312" w:hAnsi="Calibri" w:eastAsia="仿宋_GB2312" w:cs="Times New Roman"/>
          <w:sz w:val="28"/>
          <w:szCs w:val="28"/>
        </w:rPr>
      </w:pPr>
      <w:r>
        <w:rPr>
          <w:rFonts w:hint="eastAsia" w:ascii="仿宋_GB2312" w:hAnsi="Calibri" w:eastAsia="仿宋_GB2312" w:cs="Times New Roman"/>
          <w:b/>
          <w:sz w:val="28"/>
          <w:szCs w:val="28"/>
        </w:rPr>
        <w:t>第二十四条</w:t>
      </w:r>
      <w:r>
        <w:rPr>
          <w:rFonts w:cs="Times New Roman" w:asciiTheme="minorEastAsia" w:hAnsiTheme="minorEastAsia"/>
          <w:sz w:val="28"/>
          <w:szCs w:val="28"/>
        </w:rPr>
        <w:t xml:space="preserve">  </w:t>
      </w:r>
      <w:r>
        <w:rPr>
          <w:rFonts w:hint="eastAsia" w:cs="Times New Roman" w:asciiTheme="minorEastAsia" w:hAnsiTheme="minorEastAsia"/>
          <w:sz w:val="28"/>
          <w:szCs w:val="28"/>
        </w:rPr>
        <w:t>【</w:t>
      </w:r>
      <w:r>
        <w:rPr>
          <w:rFonts w:hint="eastAsia" w:ascii="仿宋_GB2312" w:hAnsi="Calibri" w:eastAsia="仿宋_GB2312" w:cs="Times New Roman"/>
          <w:sz w:val="28"/>
          <w:szCs w:val="28"/>
        </w:rPr>
        <w:t>变更信息</w:t>
      </w:r>
      <w:r>
        <w:rPr>
          <w:rFonts w:hint="eastAsia" w:cs="Times New Roman" w:asciiTheme="minorEastAsia" w:hAnsiTheme="minorEastAsia"/>
          <w:sz w:val="28"/>
          <w:szCs w:val="28"/>
        </w:rPr>
        <w:t>】</w:t>
      </w:r>
      <w:r>
        <w:rPr>
          <w:rFonts w:hint="eastAsia" w:ascii="仿宋_GB2312" w:hAnsi="Calibri" w:eastAsia="仿宋_GB2312" w:cs="Times New Roman"/>
          <w:sz w:val="28"/>
          <w:szCs w:val="28"/>
        </w:rPr>
        <w:t>甲方通过乙方渠道或者</w:t>
      </w:r>
      <w:r>
        <w:rPr>
          <w:rFonts w:hint="eastAsia" w:ascii="黑体" w:hAnsi="黑体" w:eastAsia="黑体" w:cs="Times New Roman"/>
          <w:color w:val="auto"/>
          <w:sz w:val="28"/>
          <w:szCs w:val="28"/>
        </w:rPr>
        <w:t>合作方渠道</w:t>
      </w:r>
      <w:r>
        <w:rPr>
          <w:rFonts w:hint="eastAsia" w:ascii="仿宋_GB2312" w:hAnsi="Calibri" w:eastAsia="仿宋_GB2312" w:cs="Times New Roman"/>
          <w:sz w:val="28"/>
          <w:szCs w:val="28"/>
        </w:rPr>
        <w:t>办理电子账户变更业务的，甲方同意按照乙方要求重新验证信息，并配合乙方通过短信验证码、人脸识别等措施核实甲方变更信息的真实意愿。</w:t>
      </w:r>
    </w:p>
    <w:p>
      <w:pPr>
        <w:spacing w:line="470" w:lineRule="exact"/>
        <w:ind w:firstLine="562"/>
        <w:rPr>
          <w:rFonts w:ascii="仿宋_GB2312" w:hAnsi="Calibri" w:eastAsia="仿宋_GB2312" w:cs="Times New Roman"/>
          <w:sz w:val="28"/>
          <w:szCs w:val="28"/>
        </w:rPr>
      </w:pPr>
      <w:r>
        <w:rPr>
          <w:rFonts w:hint="eastAsia" w:ascii="仿宋_GB2312" w:hAnsi="Calibri" w:eastAsia="仿宋_GB2312" w:cs="Times New Roman"/>
          <w:b/>
          <w:sz w:val="28"/>
          <w:szCs w:val="28"/>
        </w:rPr>
        <w:t xml:space="preserve">第二十五条 </w:t>
      </w:r>
      <w:r>
        <w:rPr>
          <w:rFonts w:hint="eastAsia" w:cs="Times New Roman" w:asciiTheme="minorEastAsia" w:hAnsiTheme="minorEastAsia"/>
          <w:sz w:val="28"/>
          <w:szCs w:val="28"/>
        </w:rPr>
        <w:t>【</w:t>
      </w:r>
      <w:r>
        <w:rPr>
          <w:rFonts w:hint="eastAsia" w:ascii="仿宋_GB2312" w:hAnsi="Calibri" w:eastAsia="仿宋_GB2312" w:cs="Times New Roman"/>
          <w:sz w:val="28"/>
          <w:szCs w:val="28"/>
        </w:rPr>
        <w:t>主动销户</w:t>
      </w:r>
      <w:r>
        <w:rPr>
          <w:rFonts w:hint="eastAsia" w:cs="Times New Roman" w:asciiTheme="minorEastAsia" w:hAnsiTheme="minorEastAsia"/>
          <w:sz w:val="28"/>
          <w:szCs w:val="28"/>
        </w:rPr>
        <w:t>】</w:t>
      </w:r>
      <w:r>
        <w:rPr>
          <w:rFonts w:hint="eastAsia" w:ascii="仿宋_GB2312" w:hAnsi="Calibri" w:eastAsia="仿宋_GB2312" w:cs="Times New Roman"/>
          <w:sz w:val="28"/>
          <w:szCs w:val="28"/>
        </w:rPr>
        <w:t>甲方通过乙方渠道或者合作方渠道办理电子账户销户业务的，甲方应当先将电子账户所有投资理财等金融产品赎回，提前支取定期存单，将电子账户资金全部转回绑定账户后再予以销户，如绑定账户已销户的，甲方应按照乙方新开户要求重新验证个人信息身份后绑定新的绑定账户，将电子账户资金转回新</w:t>
      </w:r>
      <w:r>
        <w:rPr>
          <w:rFonts w:ascii="仿宋_GB2312" w:hAnsi="Calibri" w:eastAsia="仿宋_GB2312" w:cs="Times New Roman"/>
          <w:sz w:val="28"/>
          <w:szCs w:val="28"/>
        </w:rPr>
        <w:t>的</w:t>
      </w:r>
      <w:r>
        <w:rPr>
          <w:rFonts w:hint="eastAsia" w:ascii="仿宋_GB2312" w:hAnsi="Calibri" w:eastAsia="仿宋_GB2312" w:cs="Times New Roman"/>
          <w:sz w:val="28"/>
          <w:szCs w:val="28"/>
        </w:rPr>
        <w:t>绑定账户后再办理电子</w:t>
      </w:r>
      <w:r>
        <w:rPr>
          <w:rFonts w:ascii="仿宋_GB2312" w:hAnsi="Calibri" w:eastAsia="仿宋_GB2312" w:cs="Times New Roman"/>
          <w:sz w:val="28"/>
          <w:szCs w:val="28"/>
        </w:rPr>
        <w:t>账户</w:t>
      </w:r>
      <w:r>
        <w:rPr>
          <w:rFonts w:hint="eastAsia" w:ascii="仿宋_GB2312" w:hAnsi="Calibri" w:eastAsia="仿宋_GB2312" w:cs="Times New Roman"/>
          <w:sz w:val="28"/>
          <w:szCs w:val="28"/>
        </w:rPr>
        <w:t>销户。</w:t>
      </w:r>
    </w:p>
    <w:p>
      <w:pPr>
        <w:spacing w:line="470" w:lineRule="exact"/>
        <w:ind w:firstLine="562"/>
        <w:rPr>
          <w:rFonts w:ascii="仿宋_GB2312" w:hAnsi="Calibri" w:eastAsia="仿宋_GB2312" w:cs="Times New Roman"/>
          <w:sz w:val="28"/>
          <w:szCs w:val="28"/>
        </w:rPr>
      </w:pPr>
      <w:r>
        <w:rPr>
          <w:rFonts w:hint="eastAsia" w:ascii="仿宋_GB2312" w:hAnsi="Calibri" w:eastAsia="仿宋_GB2312" w:cs="Times New Roman"/>
          <w:b/>
          <w:sz w:val="28"/>
          <w:szCs w:val="28"/>
        </w:rPr>
        <w:t xml:space="preserve">第二十六条 </w:t>
      </w:r>
      <w:r>
        <w:rPr>
          <w:rFonts w:ascii="仿宋_GB2312" w:hAnsi="Calibri" w:eastAsia="仿宋_GB2312" w:cs="Times New Roman"/>
          <w:b/>
          <w:sz w:val="28"/>
          <w:szCs w:val="28"/>
        </w:rPr>
        <w:t xml:space="preserve"> </w:t>
      </w:r>
      <w:r>
        <w:rPr>
          <w:rFonts w:hint="eastAsia" w:cs="Times New Roman" w:asciiTheme="minorEastAsia" w:hAnsiTheme="minorEastAsia"/>
          <w:sz w:val="28"/>
          <w:szCs w:val="28"/>
        </w:rPr>
        <w:t>【</w:t>
      </w:r>
      <w:r>
        <w:rPr>
          <w:rFonts w:hint="eastAsia" w:ascii="仿宋_GB2312" w:hAnsi="Calibri" w:eastAsia="仿宋_GB2312" w:cs="Times New Roman"/>
          <w:sz w:val="28"/>
          <w:szCs w:val="28"/>
        </w:rPr>
        <w:t>协议期限</w:t>
      </w:r>
      <w:r>
        <w:rPr>
          <w:rFonts w:hint="eastAsia" w:cs="Times New Roman" w:asciiTheme="minorEastAsia" w:hAnsiTheme="minorEastAsia"/>
          <w:sz w:val="28"/>
          <w:szCs w:val="28"/>
        </w:rPr>
        <w:t>】</w:t>
      </w:r>
      <w:r>
        <w:rPr>
          <w:rFonts w:hint="eastAsia" w:ascii="仿宋_GB2312" w:hAnsi="Calibri" w:eastAsia="仿宋_GB2312" w:cs="Times New Roman"/>
          <w:sz w:val="28"/>
          <w:szCs w:val="28"/>
        </w:rPr>
        <w:t>本协议于甲方在乙方开立的个人银行电子账户存续期间有效，如甲方撤销在乙方开立的账户，自正式销户之日起，本协议自动终止。</w:t>
      </w:r>
    </w:p>
    <w:p>
      <w:pPr>
        <w:spacing w:line="470" w:lineRule="exact"/>
        <w:ind w:firstLine="559" w:firstLineChars="199"/>
        <w:rPr>
          <w:rFonts w:ascii="黑体" w:hAnsi="黑体" w:eastAsia="黑体"/>
          <w:sz w:val="28"/>
        </w:rPr>
      </w:pPr>
      <w:r>
        <w:rPr>
          <w:rFonts w:hint="eastAsia" w:ascii="仿宋_GB2312" w:hAnsi="Calibri" w:eastAsia="仿宋_GB2312" w:cs="Times New Roman"/>
          <w:b/>
          <w:sz w:val="28"/>
          <w:szCs w:val="28"/>
        </w:rPr>
        <w:t>第二十七条</w:t>
      </w:r>
      <w:r>
        <w:rPr>
          <w:rFonts w:cs="Times New Roman" w:asciiTheme="minorEastAsia" w:hAnsiTheme="minorEastAsia"/>
          <w:sz w:val="28"/>
          <w:szCs w:val="28"/>
        </w:rPr>
        <w:t xml:space="preserve"> </w:t>
      </w:r>
      <w:r>
        <w:rPr>
          <w:rFonts w:hint="eastAsia" w:cs="Times New Roman" w:asciiTheme="minorEastAsia" w:hAnsiTheme="minorEastAsia"/>
          <w:sz w:val="28"/>
          <w:szCs w:val="28"/>
        </w:rPr>
        <w:t xml:space="preserve"> 【</w:t>
      </w:r>
      <w:r>
        <w:rPr>
          <w:rFonts w:hint="eastAsia" w:ascii="黑体" w:hAnsi="黑体" w:eastAsia="黑体"/>
          <w:sz w:val="28"/>
        </w:rPr>
        <w:t>协议修改</w:t>
      </w:r>
      <w:r>
        <w:rPr>
          <w:rFonts w:hint="eastAsia" w:cs="Times New Roman" w:asciiTheme="minorEastAsia" w:hAnsiTheme="minorEastAsia"/>
          <w:sz w:val="28"/>
          <w:szCs w:val="28"/>
        </w:rPr>
        <w:t>】</w:t>
      </w:r>
      <w:r>
        <w:rPr>
          <w:rFonts w:hint="eastAsia" w:ascii="黑体" w:hAnsi="黑体" w:eastAsia="黑体"/>
          <w:sz w:val="28"/>
        </w:rPr>
        <w:t>本协议由乙方制定、解释和修改。乙方如修改本协议、收费项目和收费标准，应通过网站公告或与乙方合作的平台等渠道公告修改后的内容，公告满三个月后，修改后的协议、收费项目和收费标准即为生效。在公告期内，甲方可以选择是否继续使用个人银行电子账户，甲方因对协议、收费项目和收费标准的修改有异议而决定不继续使用个人银行电子账户的，可向乙方提出销户申请，乙方按业务规定为其办理销户手续。公告期满，甲方未提出销户申请的，视为同意。</w:t>
      </w:r>
    </w:p>
    <w:p>
      <w:pPr>
        <w:autoSpaceDE w:val="0"/>
        <w:autoSpaceDN w:val="0"/>
        <w:adjustRightInd w:val="0"/>
        <w:spacing w:line="470" w:lineRule="exact"/>
        <w:ind w:firstLine="562" w:firstLineChars="201"/>
        <w:rPr>
          <w:rFonts w:ascii="黑体" w:hAnsi="黑体" w:eastAsia="黑体" w:cs="黑体"/>
          <w:b w:val="0"/>
          <w:bCs/>
          <w:sz w:val="28"/>
          <w:szCs w:val="28"/>
        </w:rPr>
      </w:pPr>
      <w:r>
        <w:rPr>
          <w:rFonts w:hint="eastAsia" w:ascii="黑体" w:hAnsi="黑体" w:eastAsia="黑体" w:cs="黑体"/>
          <w:b w:val="0"/>
          <w:bCs/>
          <w:sz w:val="28"/>
          <w:szCs w:val="28"/>
        </w:rPr>
        <w:t>第二十八条</w:t>
      </w:r>
      <w:r>
        <w:rPr>
          <w:rFonts w:ascii="黑体" w:hAnsi="黑体" w:eastAsia="黑体" w:cs="黑体"/>
          <w:bCs/>
          <w:sz w:val="28"/>
          <w:szCs w:val="28"/>
        </w:rPr>
        <w:t xml:space="preserve">  </w:t>
      </w:r>
      <w:r>
        <w:rPr>
          <w:rFonts w:hint="eastAsia" w:ascii="黑体" w:hAnsi="黑体" w:eastAsia="黑体" w:cs="黑体"/>
          <w:b w:val="0"/>
          <w:bCs/>
          <w:sz w:val="28"/>
          <w:szCs w:val="28"/>
        </w:rPr>
        <w:t>【其他规则】本协议未尽事宜，应按照中国人民银行《支付结算办法》、《人民币银行结算账户管理办法》、《关于落实个人银行账户分类管理制度的通知》及相关法律法规执行。相关法律法规、监管要求的规定与本协议约定内容有冲突的，应适用其规定。</w:t>
      </w:r>
    </w:p>
    <w:p>
      <w:pPr>
        <w:spacing w:line="470" w:lineRule="exact"/>
        <w:ind w:firstLine="557" w:firstLineChars="199"/>
        <w:rPr>
          <w:rFonts w:ascii="黑体" w:hAnsi="黑体" w:eastAsia="黑体" w:cs="黑体"/>
          <w:bCs/>
          <w:sz w:val="28"/>
          <w:szCs w:val="28"/>
        </w:rPr>
      </w:pPr>
      <w:r>
        <w:rPr>
          <w:rFonts w:hint="eastAsia" w:ascii="黑体" w:hAnsi="黑体" w:eastAsia="黑体" w:cs="黑体"/>
          <w:b w:val="0"/>
          <w:bCs/>
          <w:sz w:val="28"/>
          <w:szCs w:val="28"/>
        </w:rPr>
        <w:t>第二十九条</w:t>
      </w:r>
      <w:r>
        <w:rPr>
          <w:rFonts w:ascii="黑体" w:hAnsi="黑体" w:eastAsia="黑体" w:cs="黑体"/>
          <w:bCs/>
          <w:sz w:val="28"/>
          <w:szCs w:val="28"/>
        </w:rPr>
        <w:t xml:space="preserve">  </w:t>
      </w:r>
      <w:r>
        <w:rPr>
          <w:rFonts w:hint="eastAsia" w:ascii="黑体" w:hAnsi="黑体" w:eastAsia="黑体" w:cs="黑体"/>
          <w:bCs/>
          <w:sz w:val="28"/>
          <w:szCs w:val="28"/>
        </w:rPr>
        <w:t>【</w:t>
      </w:r>
      <w:r>
        <w:rPr>
          <w:rFonts w:hint="eastAsia" w:ascii="黑体" w:hAnsi="黑体" w:eastAsia="黑体" w:cs="黑体"/>
          <w:b w:val="0"/>
          <w:bCs/>
          <w:sz w:val="28"/>
          <w:szCs w:val="28"/>
        </w:rPr>
        <w:t>其他规则】双方在履行本协议的过程中如发生争议，可通过协商解决，协商不成可向乙方所在地人民法院提起诉讼</w:t>
      </w:r>
      <w:r>
        <w:rPr>
          <w:rFonts w:hint="eastAsia" w:ascii="黑体" w:hAnsi="黑体" w:eastAsia="黑体" w:cs="黑体"/>
          <w:bCs/>
          <w:sz w:val="28"/>
          <w:szCs w:val="28"/>
        </w:rPr>
        <w:t>。</w:t>
      </w:r>
    </w:p>
    <w:p>
      <w:pPr>
        <w:spacing w:line="470" w:lineRule="exact"/>
        <w:ind w:firstLine="559" w:firstLineChars="199"/>
        <w:rPr>
          <w:rFonts w:ascii="黑体" w:eastAsia="黑体"/>
          <w:sz w:val="28"/>
          <w:szCs w:val="28"/>
        </w:rPr>
      </w:pPr>
      <w:r>
        <w:rPr>
          <w:rFonts w:hint="eastAsia" w:ascii="仿宋_GB2312" w:hAnsi="Calibri" w:eastAsia="仿宋_GB2312" w:cs="Times New Roman"/>
          <w:b/>
          <w:sz w:val="28"/>
          <w:szCs w:val="28"/>
        </w:rPr>
        <w:t>第三十条</w:t>
      </w:r>
      <w:r>
        <w:rPr>
          <w:rFonts w:cs="Times New Roman" w:asciiTheme="minorEastAsia" w:hAnsiTheme="minorEastAsia"/>
          <w:sz w:val="28"/>
          <w:szCs w:val="28"/>
        </w:rPr>
        <w:t xml:space="preserve">  </w:t>
      </w:r>
      <w:r>
        <w:rPr>
          <w:rFonts w:hint="eastAsia" w:cs="Times New Roman" w:asciiTheme="minorEastAsia" w:hAnsiTheme="minorEastAsia"/>
          <w:sz w:val="28"/>
          <w:szCs w:val="28"/>
        </w:rPr>
        <w:t>【</w:t>
      </w:r>
      <w:r>
        <w:rPr>
          <w:rFonts w:hint="eastAsia" w:ascii="黑体" w:eastAsia="黑体"/>
          <w:sz w:val="28"/>
          <w:szCs w:val="28"/>
        </w:rPr>
        <w:t>提示阅读</w:t>
      </w:r>
      <w:r>
        <w:rPr>
          <w:rFonts w:hint="eastAsia" w:cs="Times New Roman" w:asciiTheme="minorEastAsia" w:hAnsiTheme="minorEastAsia"/>
          <w:sz w:val="28"/>
          <w:szCs w:val="28"/>
        </w:rPr>
        <w:t>】</w:t>
      </w:r>
      <w:r>
        <w:rPr>
          <w:rFonts w:hint="eastAsia" w:ascii="黑体" w:eastAsia="黑体"/>
          <w:sz w:val="28"/>
          <w:szCs w:val="28"/>
        </w:rPr>
        <w:t>甲方已通读上述条款，并全面、准确地理解条款内容，双方对本协议条款内容均无疑义，并对双方权利义务和责任限制、免除责任条款的法律含义有准确无误的理解。</w:t>
      </w:r>
    </w:p>
    <w:p>
      <w:pPr>
        <w:spacing w:line="470" w:lineRule="exact"/>
        <w:ind w:firstLine="559" w:firstLineChars="199"/>
        <w:rPr>
          <w:rFonts w:ascii="黑体" w:eastAsia="黑体"/>
          <w:sz w:val="28"/>
          <w:szCs w:val="28"/>
        </w:rPr>
      </w:pPr>
      <w:r>
        <w:rPr>
          <w:rFonts w:hint="eastAsia" w:ascii="仿宋_GB2312" w:hAnsi="Calibri" w:eastAsia="仿宋_GB2312" w:cs="Times New Roman"/>
          <w:b/>
          <w:sz w:val="28"/>
          <w:szCs w:val="28"/>
        </w:rPr>
        <w:t>第三十一条</w:t>
      </w:r>
      <w:r>
        <w:rPr>
          <w:rFonts w:cs="Times New Roman" w:asciiTheme="minorEastAsia" w:hAnsiTheme="minorEastAsia"/>
          <w:sz w:val="28"/>
          <w:szCs w:val="28"/>
        </w:rPr>
        <w:t xml:space="preserve">  </w:t>
      </w:r>
      <w:r>
        <w:rPr>
          <w:rFonts w:hint="eastAsia" w:cs="Times New Roman" w:asciiTheme="minorEastAsia" w:hAnsiTheme="minorEastAsia"/>
          <w:sz w:val="28"/>
          <w:szCs w:val="28"/>
        </w:rPr>
        <w:t>【</w:t>
      </w:r>
      <w:r>
        <w:rPr>
          <w:rFonts w:hint="eastAsia" w:ascii="黑体" w:eastAsia="黑体"/>
          <w:sz w:val="28"/>
          <w:szCs w:val="28"/>
        </w:rPr>
        <w:t>确认依法合规</w:t>
      </w:r>
      <w:r>
        <w:rPr>
          <w:rFonts w:hint="eastAsia" w:cs="Times New Roman" w:asciiTheme="minorEastAsia" w:hAnsiTheme="minorEastAsia"/>
          <w:sz w:val="28"/>
          <w:szCs w:val="28"/>
        </w:rPr>
        <w:t>】</w:t>
      </w:r>
      <w:r>
        <w:rPr>
          <w:rFonts w:hint="eastAsia" w:ascii="黑体" w:eastAsia="黑体"/>
          <w:sz w:val="28"/>
          <w:szCs w:val="28"/>
        </w:rPr>
        <w:t>本开户申请人确认，本人充分了解并清楚知晓出租、出借、出售、购买账户的相关法律责任和惩戒措施（详见附件《自然人在银行业金融机构开设银行电子账户涉电信网络新型违法犯罪法律责任及防范提示告知书</w:t>
      </w:r>
      <w:r>
        <w:rPr>
          <w:rFonts w:ascii="黑体" w:eastAsia="黑体"/>
          <w:sz w:val="28"/>
          <w:szCs w:val="28"/>
        </w:rPr>
        <w:t>》</w:t>
      </w:r>
      <w:r>
        <w:rPr>
          <w:rFonts w:hint="eastAsia" w:ascii="黑体" w:eastAsia="黑体"/>
          <w:sz w:val="28"/>
          <w:szCs w:val="28"/>
        </w:rPr>
        <w:t>）</w:t>
      </w:r>
      <w:r>
        <w:rPr>
          <w:rFonts w:ascii="黑体" w:eastAsia="黑体"/>
          <w:sz w:val="28"/>
          <w:szCs w:val="28"/>
        </w:rPr>
        <w:t>，承诺依法依规开立和</w:t>
      </w:r>
      <w:r>
        <w:rPr>
          <w:rFonts w:hint="eastAsia" w:ascii="黑体" w:eastAsia="黑体"/>
          <w:sz w:val="28"/>
          <w:szCs w:val="28"/>
        </w:rPr>
        <w:t>使用本人账户。</w:t>
      </w:r>
    </w:p>
    <w:p>
      <w:pPr>
        <w:spacing w:line="470" w:lineRule="exact"/>
        <w:ind w:firstLine="560" w:firstLineChars="200"/>
        <w:rPr>
          <w:rFonts w:ascii="仿宋_GB2312" w:hAnsi="Calibri" w:cs="Times New Roman"/>
          <w:sz w:val="28"/>
          <w:szCs w:val="28"/>
        </w:rPr>
      </w:pPr>
    </w:p>
    <w:p>
      <w:pPr>
        <w:spacing w:line="470" w:lineRule="exact"/>
        <w:ind w:firstLine="560" w:firstLineChars="200"/>
        <w:jc w:val="center"/>
        <w:rPr>
          <w:rFonts w:ascii="仿宋_GB2312" w:hAnsi="Calibri" w:cs="Times New Roman"/>
          <w:sz w:val="28"/>
          <w:szCs w:val="28"/>
        </w:rPr>
      </w:pPr>
    </w:p>
    <w:p>
      <w:pPr>
        <w:spacing w:line="380" w:lineRule="exact"/>
        <w:rPr>
          <w:rFonts w:eastAsia="宋体" w:cs="宋体" w:asciiTheme="minorEastAsia" w:hAnsiTheme="minorEastAsia"/>
          <w:b/>
          <w:bCs/>
          <w:szCs w:val="21"/>
        </w:rPr>
      </w:pPr>
      <w:r>
        <w:rPr>
          <w:rFonts w:hint="eastAsia" w:eastAsia="宋体" w:cs="宋体" w:asciiTheme="minorEastAsia" w:hAnsiTheme="minorEastAsia"/>
          <w:b/>
          <w:bCs/>
          <w:szCs w:val="21"/>
        </w:rPr>
        <w:t>附件</w:t>
      </w:r>
      <w:r>
        <w:rPr>
          <w:rFonts w:hint="eastAsia" w:eastAsia="宋体" w:cs="宋体" w:asciiTheme="minorEastAsia" w:hAnsiTheme="minorEastAsia"/>
          <w:b/>
          <w:bCs/>
          <w:szCs w:val="21"/>
          <w:lang w:val="en-US" w:eastAsia="zh-CN"/>
        </w:rPr>
        <w:t>1</w:t>
      </w:r>
      <w:r>
        <w:rPr>
          <w:rFonts w:hint="eastAsia" w:eastAsia="宋体" w:cs="宋体" w:asciiTheme="minorEastAsia" w:hAnsiTheme="minorEastAsia"/>
          <w:b/>
          <w:bCs/>
          <w:szCs w:val="21"/>
        </w:rPr>
        <w:t>：自然人在银行业金融机构开设银行电子账户涉电信网络新型违法犯罪法律责任及防范提示告知书</w:t>
      </w:r>
    </w:p>
    <w:p>
      <w:pPr>
        <w:widowControl/>
        <w:shd w:val="clear" w:color="auto" w:fill="FFFFFF"/>
        <w:spacing w:line="380" w:lineRule="exact"/>
        <w:ind w:firstLine="420" w:firstLineChars="200"/>
        <w:rPr>
          <w:rFonts w:eastAsia="宋体" w:cs="宋体" w:asciiTheme="minorEastAsia" w:hAnsiTheme="minorEastAsia"/>
          <w:kern w:val="0"/>
          <w:szCs w:val="21"/>
          <w:shd w:val="clear" w:color="auto" w:fill="FFFFFF"/>
          <w:lang w:bidi="ar"/>
        </w:rPr>
      </w:pPr>
    </w:p>
    <w:p>
      <w:pPr>
        <w:widowControl/>
        <w:shd w:val="clear" w:color="auto" w:fill="FFFFFF"/>
        <w:spacing w:line="380" w:lineRule="exact"/>
        <w:ind w:firstLine="420" w:firstLineChars="200"/>
        <w:rPr>
          <w:rFonts w:eastAsia="宋体" w:cs="宋体" w:asciiTheme="minorEastAsia" w:hAnsiTheme="minorEastAsia"/>
          <w:kern w:val="0"/>
          <w:szCs w:val="21"/>
          <w:shd w:val="clear" w:color="auto" w:fill="FFFFFF"/>
          <w:lang w:bidi="ar"/>
        </w:rPr>
      </w:pPr>
      <w:r>
        <w:rPr>
          <w:rFonts w:hint="eastAsia" w:eastAsia="宋体" w:cs="宋体" w:asciiTheme="minorEastAsia" w:hAnsiTheme="minorEastAsia"/>
          <w:kern w:val="0"/>
          <w:szCs w:val="21"/>
          <w:shd w:val="clear" w:color="auto" w:fill="FFFFFF"/>
          <w:lang w:bidi="ar"/>
        </w:rPr>
        <w:t>为加强银行电子账户管理（以下称“账户”），保证自然人合法、规范使用本人账户，避免被违法犯罪人员用于转移电信网络新型违法犯罪赃款，根据《人民币银行电子账户管理办法》（中国人民银行令〔</w:t>
      </w:r>
      <w:r>
        <w:rPr>
          <w:rFonts w:eastAsia="宋体" w:cs="宋体" w:asciiTheme="minorEastAsia" w:hAnsiTheme="minorEastAsia"/>
          <w:kern w:val="0"/>
          <w:szCs w:val="21"/>
          <w:shd w:val="clear" w:color="auto" w:fill="FFFFFF"/>
          <w:lang w:bidi="ar"/>
        </w:rPr>
        <w:t>2003〕第5号）、《关于加强开户管理及可疑交易报告后续控制措施的通知》（银发[2017]117号）和最高人民法院、最高人民检察院、公安部《关于办理电信网络诈骗等刑事案件适用若干问题的意见》（法发[2016]32号）、中国人民银行《关于加强支付结算管理防范电信网络新型违法犯罪有关事项的通知》（银发[2016]261号）、中国人民银行《关于进一步加强支付结算管理防范电信网络新型违法犯罪有关事项的通知》（银发[2019]85号）之规定，特将相关涉电信网络新型违法犯罪法律责任及防范提示告知如下：</w:t>
      </w:r>
    </w:p>
    <w:p>
      <w:pPr>
        <w:widowControl/>
        <w:shd w:val="clear" w:color="auto" w:fill="FFFFFF"/>
        <w:spacing w:line="380" w:lineRule="exact"/>
        <w:ind w:firstLine="420" w:firstLineChars="200"/>
        <w:rPr>
          <w:rFonts w:eastAsia="宋体" w:cs="宋体" w:asciiTheme="minorEastAsia" w:hAnsiTheme="minorEastAsia"/>
          <w:kern w:val="0"/>
          <w:szCs w:val="21"/>
          <w:shd w:val="clear" w:color="auto" w:fill="FFFFFF"/>
          <w:lang w:bidi="ar"/>
        </w:rPr>
      </w:pPr>
      <w:r>
        <w:rPr>
          <w:rFonts w:hint="eastAsia" w:eastAsia="宋体" w:cs="宋体" w:asciiTheme="minorEastAsia" w:hAnsiTheme="minorEastAsia"/>
          <w:kern w:val="0"/>
          <w:szCs w:val="21"/>
          <w:shd w:val="clear" w:color="auto" w:fill="FFFFFF"/>
          <w:lang w:bidi="ar"/>
        </w:rPr>
        <w:t>一、自然人申请开设账户时，自然人必须提供本人真实身份证件（中国内地居民原则上提供二代居民身份证，持非二代居民身份证的境内外自然人还应主动提供辅助证件），并如实填写自然人相关信息（含本人实名登记的联系电话号码）；</w:t>
      </w:r>
      <w:r>
        <w:rPr>
          <w:rFonts w:hint="eastAsia" w:eastAsia="宋体" w:cs="宋体" w:asciiTheme="minorEastAsia" w:hAnsiTheme="minorEastAsia"/>
          <w:b/>
          <w:kern w:val="0"/>
          <w:szCs w:val="21"/>
          <w:shd w:val="clear" w:color="auto" w:fill="FFFFFF"/>
          <w:lang w:bidi="ar"/>
        </w:rPr>
        <w:t>违者将按账户管理办法规定给予处罚；构成犯罪的，移交</w:t>
      </w:r>
      <w:r>
        <w:rPr>
          <w:rFonts w:hint="eastAsia"/>
        </w:rPr>
        <w:fldChar w:fldCharType="begin"/>
      </w:r>
      <w:r>
        <w:instrText xml:space="preserve"> HYPERLINK "http://baike.so.com/doc/2975562.html" \t "http://baike.so.com/doc/_blank" </w:instrText>
      </w:r>
      <w:r>
        <w:rPr>
          <w:rFonts w:hint="eastAsia"/>
        </w:rPr>
        <w:fldChar w:fldCharType="separate"/>
      </w:r>
      <w:r>
        <w:rPr>
          <w:rFonts w:hint="eastAsia" w:eastAsia="宋体" w:cs="宋体" w:asciiTheme="minorEastAsia" w:hAnsiTheme="minorEastAsia"/>
          <w:b/>
          <w:kern w:val="0"/>
          <w:szCs w:val="21"/>
          <w:shd w:val="clear" w:color="auto" w:fill="FFFFFF"/>
          <w:lang w:bidi="ar"/>
        </w:rPr>
        <w:t>司法机关</w:t>
      </w:r>
      <w:r>
        <w:rPr>
          <w:rFonts w:hint="eastAsia" w:eastAsia="宋体" w:cs="宋体" w:asciiTheme="minorEastAsia" w:hAnsiTheme="minorEastAsia"/>
          <w:b/>
          <w:kern w:val="0"/>
          <w:szCs w:val="21"/>
          <w:shd w:val="clear" w:color="auto" w:fill="FFFFFF"/>
          <w:lang w:bidi="ar"/>
        </w:rPr>
        <w:fldChar w:fldCharType="end"/>
      </w:r>
      <w:r>
        <w:rPr>
          <w:rFonts w:hint="eastAsia" w:eastAsia="宋体" w:cs="宋体" w:asciiTheme="minorEastAsia" w:hAnsiTheme="minorEastAsia"/>
          <w:b/>
          <w:kern w:val="0"/>
          <w:szCs w:val="21"/>
          <w:shd w:val="clear" w:color="auto" w:fill="FFFFFF"/>
          <w:lang w:bidi="ar"/>
        </w:rPr>
        <w:t>依法追究刑事责任</w:t>
      </w:r>
      <w:r>
        <w:rPr>
          <w:rFonts w:hint="eastAsia" w:eastAsia="宋体" w:cs="宋体" w:asciiTheme="minorEastAsia" w:hAnsiTheme="minorEastAsia"/>
          <w:kern w:val="0"/>
          <w:szCs w:val="21"/>
          <w:shd w:val="clear" w:color="auto" w:fill="FFFFFF"/>
          <w:lang w:bidi="ar"/>
        </w:rPr>
        <w:t>。</w:t>
      </w:r>
    </w:p>
    <w:p>
      <w:pPr>
        <w:widowControl/>
        <w:shd w:val="clear" w:color="auto" w:fill="FFFFFF"/>
        <w:spacing w:line="380" w:lineRule="exact"/>
        <w:ind w:firstLine="420" w:firstLineChars="200"/>
        <w:rPr>
          <w:rFonts w:eastAsia="宋体" w:cs="宋体" w:asciiTheme="minorEastAsia" w:hAnsiTheme="minorEastAsia"/>
          <w:kern w:val="0"/>
          <w:szCs w:val="21"/>
          <w:shd w:val="clear" w:color="auto" w:fill="FFFFFF"/>
          <w:lang w:bidi="ar"/>
        </w:rPr>
      </w:pPr>
      <w:r>
        <w:rPr>
          <w:rFonts w:hint="eastAsia" w:eastAsia="宋体" w:cs="宋体" w:asciiTheme="minorEastAsia" w:hAnsiTheme="minorEastAsia"/>
          <w:kern w:val="0"/>
          <w:szCs w:val="21"/>
          <w:shd w:val="clear" w:color="auto" w:fill="FFFFFF"/>
          <w:lang w:bidi="ar"/>
        </w:rPr>
        <w:t>二、自然人应妥善保管自身名下所有账户，充分了解账户管理使用风险，严禁非法向他人进行出售、转让、出租、出借。如有上述非法行为且该账户涉及电信网络诈骗犯罪活动的，将根据《关于办理电信网络诈骗等刑事案件适用若干问题的意见》第四条第三款第一项之规定，</w:t>
      </w:r>
      <w:r>
        <w:rPr>
          <w:rFonts w:hint="eastAsia" w:eastAsia="宋体" w:cs="宋体" w:asciiTheme="minorEastAsia" w:hAnsiTheme="minorEastAsia"/>
          <w:b/>
          <w:kern w:val="0"/>
          <w:szCs w:val="21"/>
          <w:shd w:val="clear" w:color="auto" w:fill="FFFFFF"/>
          <w:lang w:bidi="ar"/>
        </w:rPr>
        <w:t>以实施电信网络诈骗犯罪共同犯罪论处</w:t>
      </w:r>
      <w:r>
        <w:rPr>
          <w:rFonts w:hint="eastAsia" w:eastAsia="宋体" w:cs="宋体" w:asciiTheme="minorEastAsia" w:hAnsiTheme="minorEastAsia"/>
          <w:kern w:val="0"/>
          <w:szCs w:val="21"/>
          <w:shd w:val="clear" w:color="auto" w:fill="FFFFFF"/>
          <w:lang w:bidi="ar"/>
        </w:rPr>
        <w:t>。</w:t>
      </w:r>
    </w:p>
    <w:p>
      <w:pPr>
        <w:widowControl/>
        <w:shd w:val="clear" w:color="auto" w:fill="FFFFFF"/>
        <w:spacing w:line="380" w:lineRule="exact"/>
        <w:ind w:firstLine="420" w:firstLineChars="200"/>
        <w:rPr>
          <w:rFonts w:cs="宋体" w:asciiTheme="minorEastAsia" w:hAnsiTheme="minorEastAsia"/>
          <w:kern w:val="0"/>
          <w:szCs w:val="21"/>
          <w:shd w:val="clear" w:color="auto" w:fill="FFFFFF"/>
          <w:lang w:bidi="ar"/>
        </w:rPr>
      </w:pPr>
      <w:r>
        <w:rPr>
          <w:rFonts w:hint="eastAsia" w:eastAsia="宋体" w:cs="宋体" w:asciiTheme="minorEastAsia" w:hAnsiTheme="minorEastAsia"/>
          <w:kern w:val="0"/>
          <w:szCs w:val="21"/>
          <w:shd w:val="clear" w:color="auto" w:fill="FFFFFF"/>
          <w:lang w:bidi="ar"/>
        </w:rPr>
        <w:t>三、</w:t>
      </w:r>
      <w:r>
        <w:rPr>
          <w:rFonts w:hint="eastAsia" w:cs="宋体" w:asciiTheme="minorEastAsia" w:hAnsiTheme="minorEastAsia"/>
          <w:kern w:val="0"/>
          <w:szCs w:val="21"/>
          <w:shd w:val="clear" w:color="auto" w:fill="FFFFFF"/>
          <w:lang w:bidi="ar"/>
        </w:rPr>
        <w:t>根据《关于进</w:t>
      </w:r>
      <w:r>
        <w:rPr>
          <w:rFonts w:cs="宋体" w:asciiTheme="minorEastAsia" w:hAnsiTheme="minorEastAsia"/>
          <w:kern w:val="0"/>
          <w:szCs w:val="21"/>
          <w:shd w:val="clear" w:color="auto" w:fill="FFFFFF"/>
          <w:lang w:bidi="ar"/>
        </w:rPr>
        <w:t>一</w:t>
      </w:r>
      <w:r>
        <w:rPr>
          <w:rFonts w:hint="eastAsia" w:cs="宋体" w:asciiTheme="minorEastAsia" w:hAnsiTheme="minorEastAsia"/>
          <w:kern w:val="0"/>
          <w:szCs w:val="21"/>
          <w:shd w:val="clear" w:color="auto" w:fill="FFFFFF"/>
          <w:lang w:bidi="ar"/>
        </w:rPr>
        <w:t>步加强支付结算管理防范电信网络新型违法犯罪有关事项的通知》第二条第九款</w:t>
      </w:r>
      <w:r>
        <w:rPr>
          <w:rFonts w:hint="eastAsia" w:eastAsia="宋体" w:cs="宋体" w:asciiTheme="minorEastAsia" w:hAnsiTheme="minorEastAsia"/>
          <w:kern w:val="0"/>
          <w:szCs w:val="21"/>
          <w:shd w:val="clear" w:color="auto" w:fill="FFFFFF"/>
          <w:lang w:bidi="ar"/>
        </w:rPr>
        <w:t>和《关于加强开户管理及可疑交易报告后续控制措施的通知》第二条第二款之规定，将对涉及电信网络新型违法犯罪案件的账户及其所有人将采取风险管控，</w:t>
      </w:r>
      <w:r>
        <w:rPr>
          <w:rFonts w:cs="宋体" w:asciiTheme="minorEastAsia" w:hAnsiTheme="minorEastAsia"/>
          <w:b/>
          <w:kern w:val="0"/>
          <w:szCs w:val="21"/>
          <w:shd w:val="clear" w:color="auto" w:fill="FFFFFF"/>
          <w:lang w:bidi="ar"/>
        </w:rPr>
        <w:t>5年内暂停涉案账户非柜面业务、支付账户所有业务，并不得</w:t>
      </w:r>
      <w:r>
        <w:rPr>
          <w:rFonts w:hint="eastAsia" w:cs="宋体" w:asciiTheme="minorEastAsia" w:hAnsiTheme="minorEastAsia"/>
          <w:b/>
          <w:kern w:val="0"/>
          <w:szCs w:val="21"/>
          <w:shd w:val="clear" w:color="auto" w:fill="FFFFFF"/>
          <w:lang w:bidi="ar"/>
        </w:rPr>
        <w:t>为其新开立账户，还会将涉案账户所有人信息移送金融信息基础数据库并向社会公布</w:t>
      </w:r>
      <w:r>
        <w:rPr>
          <w:rFonts w:hint="eastAsia" w:cs="宋体" w:asciiTheme="minorEastAsia" w:hAnsiTheme="minorEastAsia"/>
          <w:kern w:val="0"/>
          <w:szCs w:val="21"/>
          <w:shd w:val="clear" w:color="auto" w:fill="FFFFFF"/>
          <w:lang w:bidi="ar"/>
        </w:rPr>
        <w:t>。</w:t>
      </w:r>
    </w:p>
    <w:p>
      <w:pPr>
        <w:widowControl/>
        <w:shd w:val="clear" w:color="auto" w:fill="FFFFFF"/>
        <w:spacing w:line="380" w:lineRule="exact"/>
        <w:ind w:firstLine="420" w:firstLineChars="200"/>
        <w:rPr>
          <w:rFonts w:eastAsia="宋体" w:cs="宋体" w:asciiTheme="minorEastAsia" w:hAnsiTheme="minorEastAsia"/>
          <w:kern w:val="0"/>
          <w:szCs w:val="21"/>
          <w:shd w:val="clear" w:color="auto" w:fill="FFFFFF"/>
          <w:lang w:bidi="ar"/>
        </w:rPr>
      </w:pPr>
      <w:r>
        <w:rPr>
          <w:rFonts w:hint="eastAsia" w:eastAsia="宋体" w:cs="宋体" w:asciiTheme="minorEastAsia" w:hAnsiTheme="minorEastAsia"/>
          <w:kern w:val="0"/>
          <w:szCs w:val="21"/>
          <w:shd w:val="clear" w:color="auto" w:fill="FFFFFF"/>
          <w:lang w:bidi="ar"/>
        </w:rPr>
        <w:t>四、自然人申请开设账户时务必认真阅读防范电信网络新型违法犯罪知识，</w:t>
      </w:r>
      <w:r>
        <w:rPr>
          <w:rFonts w:hint="eastAsia" w:eastAsia="宋体" w:cs="宋体" w:asciiTheme="minorEastAsia" w:hAnsiTheme="minorEastAsia"/>
          <w:b/>
          <w:kern w:val="0"/>
          <w:szCs w:val="21"/>
          <w:shd w:val="clear" w:color="auto" w:fill="FFFFFF"/>
          <w:lang w:bidi="ar"/>
        </w:rPr>
        <w:t>如有以下情形应立即停止开户业务，并向银行工作人员提出帮助请求</w:t>
      </w:r>
      <w:r>
        <w:rPr>
          <w:rFonts w:hint="eastAsia" w:eastAsia="宋体" w:cs="宋体" w:asciiTheme="minorEastAsia" w:hAnsiTheme="minorEastAsia"/>
          <w:kern w:val="0"/>
          <w:szCs w:val="21"/>
          <w:shd w:val="clear" w:color="auto" w:fill="FFFFFF"/>
          <w:lang w:bidi="ar"/>
        </w:rPr>
        <w:t>：</w:t>
      </w:r>
    </w:p>
    <w:p>
      <w:pPr>
        <w:widowControl/>
        <w:shd w:val="clear" w:color="auto" w:fill="FFFFFF"/>
        <w:spacing w:line="380" w:lineRule="exact"/>
        <w:ind w:firstLine="420" w:firstLineChars="200"/>
        <w:rPr>
          <w:rFonts w:eastAsia="宋体" w:cs="宋体" w:asciiTheme="minorEastAsia" w:hAnsiTheme="minorEastAsia"/>
          <w:kern w:val="0"/>
          <w:szCs w:val="21"/>
          <w:shd w:val="clear" w:color="auto" w:fill="FFFFFF"/>
          <w:lang w:bidi="ar"/>
        </w:rPr>
      </w:pPr>
      <w:r>
        <w:rPr>
          <w:rFonts w:hint="eastAsia" w:eastAsia="宋体" w:cs="宋体" w:asciiTheme="minorEastAsia" w:hAnsiTheme="minorEastAsia"/>
          <w:kern w:val="0"/>
          <w:szCs w:val="21"/>
          <w:shd w:val="clear" w:color="auto" w:fill="FFFFFF"/>
          <w:lang w:bidi="ar"/>
        </w:rPr>
        <w:t>（一）自称“公安、检察、法院、海关”等各类执法人员，要求你将资金转移至“安全账户”的；</w:t>
      </w:r>
    </w:p>
    <w:p>
      <w:pPr>
        <w:widowControl/>
        <w:shd w:val="clear" w:color="auto" w:fill="FFFFFF"/>
        <w:spacing w:line="380" w:lineRule="exact"/>
        <w:ind w:firstLine="420" w:firstLineChars="200"/>
        <w:rPr>
          <w:rFonts w:eastAsia="宋体" w:cs="宋体" w:asciiTheme="minorEastAsia" w:hAnsiTheme="minorEastAsia"/>
          <w:kern w:val="0"/>
          <w:szCs w:val="21"/>
          <w:shd w:val="clear" w:color="auto" w:fill="FFFFFF"/>
          <w:lang w:bidi="ar"/>
        </w:rPr>
      </w:pPr>
      <w:r>
        <w:rPr>
          <w:rFonts w:hint="eastAsia" w:eastAsia="宋体" w:cs="宋体" w:asciiTheme="minorEastAsia" w:hAnsiTheme="minorEastAsia"/>
          <w:kern w:val="0"/>
          <w:szCs w:val="21"/>
          <w:shd w:val="clear" w:color="auto" w:fill="FFFFFF"/>
          <w:lang w:bidi="ar"/>
        </w:rPr>
        <w:t>（二）自称你的“家人、朋友、熟人、领导、老师、医生、恋人”等各类关系人，要求你进行存钱、汇款或转账的；</w:t>
      </w:r>
    </w:p>
    <w:p>
      <w:pPr>
        <w:widowControl/>
        <w:shd w:val="clear" w:color="auto" w:fill="FFFFFF"/>
        <w:spacing w:line="380" w:lineRule="exact"/>
        <w:ind w:firstLine="420" w:firstLineChars="200"/>
        <w:rPr>
          <w:rFonts w:eastAsia="宋体" w:cs="宋体" w:asciiTheme="minorEastAsia" w:hAnsiTheme="minorEastAsia"/>
          <w:kern w:val="0"/>
          <w:szCs w:val="21"/>
          <w:shd w:val="clear" w:color="auto" w:fill="FFFFFF"/>
          <w:lang w:bidi="ar"/>
        </w:rPr>
      </w:pPr>
      <w:r>
        <w:rPr>
          <w:rFonts w:hint="eastAsia" w:eastAsia="宋体" w:cs="宋体" w:asciiTheme="minorEastAsia" w:hAnsiTheme="minorEastAsia"/>
          <w:kern w:val="0"/>
          <w:szCs w:val="21"/>
          <w:shd w:val="clear" w:color="auto" w:fill="FFFFFF"/>
          <w:lang w:bidi="ar"/>
        </w:rPr>
        <w:t>（三）自称可以为你办理“退货、退税、退票、发放补贴、领奖、积分兑换、提高信用卡额度、刷信誉返利、低息高额贷款”等各类“获利”行为，要求你进行存钱、汇款或转账的；</w:t>
      </w:r>
    </w:p>
    <w:p>
      <w:pPr>
        <w:widowControl/>
        <w:shd w:val="clear" w:color="auto" w:fill="FFFFFF"/>
        <w:spacing w:line="380" w:lineRule="exact"/>
        <w:ind w:firstLine="420" w:firstLineChars="200"/>
        <w:rPr>
          <w:rFonts w:eastAsia="宋体" w:cs="宋体" w:asciiTheme="minorEastAsia" w:hAnsiTheme="minorEastAsia"/>
          <w:kern w:val="0"/>
          <w:szCs w:val="21"/>
          <w:shd w:val="clear" w:color="auto" w:fill="FFFFFF"/>
          <w:lang w:bidi="ar"/>
        </w:rPr>
      </w:pPr>
      <w:r>
        <w:rPr>
          <w:rFonts w:hint="eastAsia" w:eastAsia="宋体" w:cs="宋体" w:asciiTheme="minorEastAsia" w:hAnsiTheme="minorEastAsia"/>
          <w:kern w:val="0"/>
          <w:szCs w:val="21"/>
          <w:shd w:val="clear" w:color="auto" w:fill="FFFFFF"/>
          <w:lang w:bidi="ar"/>
        </w:rPr>
        <w:t>（四）使用“举报信、</w:t>
      </w:r>
      <w:r>
        <w:rPr>
          <w:rFonts w:eastAsia="宋体" w:cs="宋体" w:asciiTheme="minorEastAsia" w:hAnsiTheme="minorEastAsia"/>
          <w:kern w:val="0"/>
          <w:szCs w:val="21"/>
          <w:shd w:val="clear" w:color="auto" w:fill="FFFFFF"/>
          <w:lang w:bidi="ar"/>
        </w:rPr>
        <w:t>PS照片、黑社会报复”等各类威胁手段，要求你进行存钱、汇款或转账的。</w:t>
      </w:r>
    </w:p>
    <w:p>
      <w:pPr>
        <w:widowControl/>
        <w:shd w:val="clear" w:color="auto" w:fill="FFFFFF"/>
        <w:spacing w:line="380" w:lineRule="exact"/>
        <w:ind w:firstLine="420" w:firstLineChars="200"/>
        <w:rPr>
          <w:rFonts w:eastAsia="宋体" w:cs="宋体" w:asciiTheme="minorEastAsia" w:hAnsiTheme="minorEastAsia"/>
          <w:kern w:val="0"/>
          <w:szCs w:val="21"/>
          <w:shd w:val="clear" w:color="auto" w:fill="FFFFFF"/>
          <w:lang w:bidi="ar"/>
        </w:rPr>
      </w:pPr>
    </w:p>
    <w:p>
      <w:pPr>
        <w:rPr>
          <w:rFonts w:hint="eastAsia" w:eastAsia="宋体" w:cs="宋体" w:asciiTheme="minorEastAsia" w:hAnsiTheme="minorEastAsia"/>
          <w:b/>
          <w:bCs/>
          <w:sz w:val="21"/>
          <w:szCs w:val="21"/>
        </w:rPr>
      </w:pPr>
      <w:r>
        <w:rPr>
          <w:rFonts w:hint="eastAsia" w:eastAsia="宋体" w:cs="宋体" w:asciiTheme="minorEastAsia" w:hAnsiTheme="minorEastAsia"/>
          <w:b/>
          <w:bCs/>
          <w:sz w:val="21"/>
          <w:szCs w:val="21"/>
          <w:lang w:val="en-US" w:eastAsia="zh-CN"/>
        </w:rPr>
        <w:t>附件2：</w:t>
      </w:r>
      <w:r>
        <w:rPr>
          <w:rFonts w:hint="eastAsia" w:eastAsia="宋体" w:cs="宋体" w:asciiTheme="minorEastAsia" w:hAnsiTheme="minorEastAsia"/>
          <w:b/>
          <w:bCs/>
          <w:sz w:val="21"/>
          <w:szCs w:val="21"/>
        </w:rPr>
        <w:t>个人信息处理授权书</w:t>
      </w:r>
    </w:p>
    <w:p>
      <w:pPr>
        <w:spacing w:line="380" w:lineRule="exact"/>
        <w:ind w:firstLine="420" w:firstLineChars="200"/>
        <w:rPr>
          <w:rFonts w:ascii="黑体" w:hAnsi="黑体" w:eastAsia="黑体" w:cs="黑体"/>
          <w:bCs/>
          <w:szCs w:val="21"/>
        </w:rPr>
      </w:pPr>
      <w:r>
        <w:rPr>
          <w:rFonts w:hint="eastAsia" w:ascii="黑体" w:hAnsi="黑体" w:eastAsia="黑体" w:cs="黑体"/>
          <w:bCs/>
          <w:szCs w:val="21"/>
        </w:rPr>
        <w:t>本人（授权人）同意向上海银行股份有限公司（被授权人，含上海银行各分支机构）作出授权如下：</w:t>
      </w:r>
    </w:p>
    <w:p>
      <w:pPr>
        <w:spacing w:line="380" w:lineRule="exact"/>
        <w:ind w:firstLine="420" w:firstLineChars="200"/>
        <w:rPr>
          <w:rFonts w:ascii="黑体" w:hAnsi="黑体" w:eastAsia="黑体" w:cs="黑体"/>
          <w:bCs/>
          <w:szCs w:val="21"/>
        </w:rPr>
      </w:pPr>
      <w:r>
        <w:rPr>
          <w:rFonts w:hint="eastAsia" w:ascii="黑体" w:hAnsi="黑体" w:eastAsia="黑体" w:cs="黑体"/>
          <w:bCs/>
          <w:szCs w:val="21"/>
        </w:rPr>
        <w:t>一、授权事项</w:t>
      </w:r>
    </w:p>
    <w:p>
      <w:pPr>
        <w:spacing w:line="380" w:lineRule="exact"/>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1、基于办理本业务需要，需被授权人为本人提供金融产品和服务，同时为订立、履行业务合同所必需，本人同意被授权人按照合法、正当、必要和诚信的原则处理本人的个人信息。</w:t>
      </w:r>
    </w:p>
    <w:p>
      <w:pPr>
        <w:spacing w:line="380" w:lineRule="exact"/>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2、个人信息是以电子或者其他方式记录的与已识别或者可识别的自然人有关的各种信息，不包括匿名化处理后的信息。个人信息的处理包括个人信息的收集、查询、存储、使用、加工、传输、提供、公开、删除等。</w:t>
      </w:r>
    </w:p>
    <w:p>
      <w:pPr>
        <w:spacing w:line="380" w:lineRule="exact"/>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3、敏感个人信息是一旦泄露或者非法使用，容易导致自然人的人格尊严受到侵害或者人身、财产安全受到危害的个人信息，包括生物识别、金融账户、行踪轨迹等信息。</w:t>
      </w:r>
      <w:r>
        <w:rPr>
          <w:rFonts w:hint="eastAsia" w:asciiTheme="minorEastAsia" w:hAnsiTheme="minorEastAsia" w:cstheme="minorEastAsia"/>
          <w:b/>
          <w:bCs/>
          <w:szCs w:val="21"/>
        </w:rPr>
        <w:t>本人理解、知晓，被授权人为本人提供金融产品和服务订立、履行合同所必需，同意被授权人因业务和管理需要处理本人的敏感个人信息。</w:t>
      </w:r>
    </w:p>
    <w:p>
      <w:pPr>
        <w:spacing w:line="380" w:lineRule="exact"/>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4、本人保证向被授权人提供的本人及他人有关信息真实准确、有效完整且已取得他人的同意。如本人提供材料中包含他人信息、图像或其他权益，本人保证已取得合法授权。</w:t>
      </w:r>
    </w:p>
    <w:p>
      <w:pPr>
        <w:spacing w:line="380" w:lineRule="exact"/>
        <w:ind w:firstLine="420" w:firstLineChars="200"/>
        <w:rPr>
          <w:rFonts w:ascii="黑体" w:hAnsi="黑体" w:eastAsia="黑体" w:cs="黑体"/>
          <w:bCs/>
          <w:szCs w:val="21"/>
        </w:rPr>
      </w:pPr>
      <w:r>
        <w:rPr>
          <w:rFonts w:hint="eastAsia" w:ascii="黑体" w:hAnsi="黑体" w:eastAsia="黑体" w:cs="黑体"/>
          <w:bCs/>
          <w:szCs w:val="21"/>
        </w:rPr>
        <w:t>二、授权目的、用途及范围</w:t>
      </w:r>
    </w:p>
    <w:p>
      <w:pPr>
        <w:spacing w:line="380" w:lineRule="exact"/>
        <w:ind w:firstLine="422" w:firstLineChars="200"/>
        <w:jc w:val="left"/>
        <w:rPr>
          <w:rFonts w:asciiTheme="minorEastAsia" w:hAnsiTheme="minorEastAsia" w:cstheme="minorEastAsia"/>
          <w:b/>
          <w:bCs/>
          <w:szCs w:val="21"/>
        </w:rPr>
      </w:pPr>
      <w:r>
        <w:rPr>
          <w:rFonts w:hint="eastAsia" w:asciiTheme="minorEastAsia" w:hAnsiTheme="minorEastAsia" w:cstheme="minorEastAsia"/>
          <w:b/>
          <w:bCs/>
          <w:szCs w:val="21"/>
        </w:rPr>
        <w:t>本人理解，基于被授权人为本人提供相关金融产品服务，被授权人为订立、履行合同所必需，本人同意被授权人处理下述本人的个人资料和信息。</w:t>
      </w:r>
    </w:p>
    <w:p>
      <w:pPr>
        <w:spacing w:line="380" w:lineRule="exact"/>
        <w:ind w:firstLine="422" w:firstLineChars="200"/>
        <w:jc w:val="left"/>
        <w:rPr>
          <w:rFonts w:asciiTheme="minorEastAsia" w:hAnsiTheme="minorEastAsia" w:cstheme="minorEastAsia"/>
          <w:b/>
          <w:bCs/>
          <w:szCs w:val="21"/>
        </w:rPr>
      </w:pPr>
      <w:r>
        <w:rPr>
          <w:rFonts w:hint="eastAsia" w:asciiTheme="minorEastAsia" w:hAnsiTheme="minorEastAsia" w:cstheme="minorEastAsia"/>
          <w:b/>
          <w:bCs/>
          <w:szCs w:val="21"/>
        </w:rPr>
        <w:t>同意并授权，请打勾</w:t>
      </w:r>
      <w:r>
        <w:rPr>
          <w:rFonts w:hint="eastAsia" w:asciiTheme="minorEastAsia" w:hAnsiTheme="minorEastAsia" w:cstheme="minorEastAsia"/>
          <w:b/>
          <w:bCs/>
          <w:szCs w:val="21"/>
        </w:rPr>
        <w:sym w:font="Wingdings 2" w:char="00A3"/>
      </w:r>
    </w:p>
    <w:p>
      <w:pPr>
        <w:spacing w:line="380" w:lineRule="exact"/>
        <w:ind w:firstLine="422" w:firstLineChars="200"/>
        <w:jc w:val="left"/>
        <w:rPr>
          <w:rFonts w:asciiTheme="minorEastAsia" w:hAnsiTheme="minorEastAsia" w:cstheme="minorEastAsia"/>
          <w:b/>
          <w:bCs/>
          <w:szCs w:val="21"/>
        </w:rPr>
      </w:pPr>
      <w:r>
        <w:rPr>
          <w:rFonts w:hint="eastAsia" w:asciiTheme="minorEastAsia" w:hAnsiTheme="minorEastAsia" w:cstheme="minorEastAsia"/>
          <w:b/>
          <w:bCs/>
          <w:szCs w:val="21"/>
        </w:rPr>
        <w:t>1、本人授权处理的个人信息包括以下内容：</w:t>
      </w:r>
    </w:p>
    <w:p>
      <w:pPr>
        <w:spacing w:line="380" w:lineRule="exact"/>
        <w:ind w:firstLine="422" w:firstLineChars="200"/>
        <w:jc w:val="left"/>
        <w:rPr>
          <w:rFonts w:asciiTheme="minorEastAsia" w:hAnsiTheme="minorEastAsia" w:cstheme="minorEastAsia"/>
          <w:b/>
          <w:bCs/>
          <w:szCs w:val="21"/>
        </w:rPr>
      </w:pPr>
      <w:r>
        <w:rPr>
          <w:rFonts w:hint="eastAsia" w:asciiTheme="minorEastAsia" w:hAnsiTheme="minorEastAsia" w:cstheme="minorEastAsia"/>
          <w:b/>
          <w:bCs/>
          <w:szCs w:val="21"/>
        </w:rPr>
        <w:t>（1）个人基本信息，包括姓名、性别、国籍、职业信息、住所地或工作单位地址、邮编、联系方式、短信验证码、身份证件或身份证明文件信息（含证件类型、号码、民族、发证日期、有效期限、签发机构、</w:t>
      </w:r>
      <w:r>
        <w:rPr>
          <w:rFonts w:hint="eastAsia" w:asciiTheme="minorEastAsia" w:hAnsiTheme="minorEastAsia" w:eastAsiaTheme="minorEastAsia" w:cstheme="minorEastAsia"/>
          <w:b/>
          <w:bCs/>
          <w:color w:val="auto"/>
          <w:sz w:val="21"/>
          <w:szCs w:val="21"/>
        </w:rPr>
        <w:t>出生日期、</w:t>
      </w:r>
      <w:r>
        <w:rPr>
          <w:rFonts w:hint="eastAsia" w:asciiTheme="minorEastAsia" w:hAnsiTheme="minorEastAsia" w:cstheme="minorEastAsia"/>
          <w:b/>
          <w:bCs/>
          <w:szCs w:val="21"/>
        </w:rPr>
        <w:t>证件复印件或影像等）、税收居民信息以及在提供产品和服务过程中收集的照片、音视频信息；</w:t>
      </w:r>
    </w:p>
    <w:p>
      <w:pPr>
        <w:spacing w:line="380" w:lineRule="exact"/>
        <w:ind w:firstLine="422" w:firstLineChars="200"/>
        <w:jc w:val="left"/>
        <w:rPr>
          <w:rFonts w:asciiTheme="minorEastAsia" w:hAnsiTheme="minorEastAsia" w:cstheme="minorEastAsia"/>
          <w:b/>
          <w:bCs/>
          <w:szCs w:val="21"/>
        </w:rPr>
      </w:pPr>
      <w:r>
        <w:rPr>
          <w:rFonts w:hint="eastAsia" w:asciiTheme="minorEastAsia" w:hAnsiTheme="minorEastAsia" w:cstheme="minorEastAsia"/>
          <w:b/>
          <w:bCs/>
          <w:szCs w:val="21"/>
        </w:rPr>
        <w:t>（2）账户交易信息，包括账户号、绑定卡号、绑定卡预留手机号、账户余额、交易金额、账户状态、交易对手信息、交易结果、资金来源与用途；</w:t>
      </w:r>
    </w:p>
    <w:p>
      <w:pPr>
        <w:spacing w:line="380" w:lineRule="exact"/>
        <w:ind w:firstLine="422" w:firstLineChars="200"/>
        <w:jc w:val="left"/>
        <w:rPr>
          <w:rFonts w:asciiTheme="minorEastAsia" w:hAnsiTheme="minorEastAsia" w:cstheme="minorEastAsia"/>
          <w:b/>
          <w:bCs/>
          <w:szCs w:val="21"/>
        </w:rPr>
      </w:pPr>
      <w:r>
        <w:rPr>
          <w:rFonts w:hint="eastAsia" w:asciiTheme="minorEastAsia" w:hAnsiTheme="minorEastAsia" w:cstheme="minorEastAsia"/>
          <w:b/>
          <w:bCs/>
          <w:szCs w:val="21"/>
        </w:rPr>
        <w:t>（3）享受服务产生的信息，包括登录终端IP地址、登录终端MAC地址、登录时间、地理位置、交易时间、交易频次、产品或服务信息；</w:t>
      </w:r>
    </w:p>
    <w:p>
      <w:pPr>
        <w:spacing w:line="380" w:lineRule="exact"/>
        <w:ind w:firstLine="422" w:firstLineChars="200"/>
        <w:jc w:val="left"/>
        <w:rPr>
          <w:rFonts w:asciiTheme="minorEastAsia" w:hAnsiTheme="minorEastAsia" w:cstheme="minorEastAsia"/>
          <w:b/>
          <w:bCs/>
          <w:szCs w:val="21"/>
        </w:rPr>
      </w:pPr>
      <w:r>
        <w:rPr>
          <w:rFonts w:hint="eastAsia" w:asciiTheme="minorEastAsia" w:hAnsiTheme="minorEastAsia" w:cstheme="minorEastAsia"/>
          <w:b/>
          <w:bCs/>
          <w:szCs w:val="21"/>
        </w:rPr>
        <w:t>（</w:t>
      </w:r>
      <w:r>
        <w:rPr>
          <w:rFonts w:hint="eastAsia" w:asciiTheme="minorEastAsia" w:hAnsiTheme="minorEastAsia" w:cstheme="minorEastAsia"/>
          <w:b/>
          <w:bCs/>
          <w:szCs w:val="21"/>
          <w:lang w:val="en-US" w:eastAsia="zh-CN"/>
        </w:rPr>
        <w:t>4</w:t>
      </w:r>
      <w:r>
        <w:rPr>
          <w:rFonts w:hint="eastAsia" w:asciiTheme="minorEastAsia" w:hAnsiTheme="minorEastAsia" w:cstheme="minorEastAsia"/>
          <w:b/>
          <w:bCs/>
          <w:szCs w:val="21"/>
        </w:rPr>
        <w:t>）违法犯罪信息、失信被执行人信息、涉及诉讼或仲裁信息、税收违法信息、资产查封、冻扣、抵押、质押、担保、或被强制执行信息、行政处罚情况。</w:t>
      </w:r>
    </w:p>
    <w:p>
      <w:pPr>
        <w:spacing w:line="380" w:lineRule="exact"/>
        <w:ind w:firstLine="422" w:firstLineChars="200"/>
        <w:jc w:val="left"/>
        <w:rPr>
          <w:rFonts w:asciiTheme="minorEastAsia" w:hAnsiTheme="minorEastAsia" w:cstheme="minorEastAsia"/>
          <w:b/>
          <w:bCs/>
          <w:szCs w:val="21"/>
        </w:rPr>
      </w:pPr>
      <w:r>
        <w:rPr>
          <w:rFonts w:hint="eastAsia" w:asciiTheme="minorEastAsia" w:hAnsiTheme="minorEastAsia" w:cstheme="minorEastAsia"/>
          <w:b/>
          <w:bCs/>
          <w:szCs w:val="21"/>
        </w:rPr>
        <w:t>2、本人同意并授权被授权人在申请审核管理、身份识别、尽职调查、业务办理、账户管理、数据研究分析等过程中，与金融监管机构、中国人民银行金融信用信息基础数据库、全国公民身份证号码查询服务中心、银行卡组织、电信运营商及其合作机构、电子认证服务机构、其他为本人提供服务所必要的第三方合法机构、有关部门（统称“第三方”），处理本人的个人信息。</w:t>
      </w:r>
    </w:p>
    <w:p>
      <w:pPr>
        <w:spacing w:line="380" w:lineRule="exact"/>
        <w:ind w:firstLine="422" w:firstLineChars="200"/>
        <w:jc w:val="left"/>
        <w:rPr>
          <w:rFonts w:asciiTheme="minorEastAsia" w:hAnsiTheme="minorEastAsia" w:cstheme="minorEastAsia"/>
          <w:b/>
          <w:bCs/>
          <w:szCs w:val="21"/>
        </w:rPr>
      </w:pPr>
      <w:r>
        <w:rPr>
          <w:rFonts w:hint="eastAsia" w:asciiTheme="minorEastAsia" w:hAnsiTheme="minorEastAsia" w:cstheme="minorEastAsia"/>
          <w:b/>
          <w:bCs/>
          <w:szCs w:val="21"/>
          <w:lang w:val="en-US" w:eastAsia="zh-CN"/>
        </w:rPr>
        <w:t>3</w:t>
      </w:r>
      <w:r>
        <w:rPr>
          <w:rFonts w:hint="eastAsia" w:asciiTheme="minorEastAsia" w:hAnsiTheme="minorEastAsia" w:cstheme="minorEastAsia"/>
          <w:b/>
          <w:bCs/>
          <w:szCs w:val="21"/>
        </w:rPr>
        <w:t>、为实现被授权人为本人提供相关服务目的，本人同意被授权人及其合作机构、增值服务提供方通过短信、电话、邮寄、电子邮件、移动客户端、微信等方式为本人发送产品或服务信息。</w:t>
      </w:r>
    </w:p>
    <w:p>
      <w:pPr>
        <w:spacing w:line="380" w:lineRule="exact"/>
        <w:ind w:firstLine="422" w:firstLineChars="200"/>
        <w:jc w:val="left"/>
        <w:rPr>
          <w:rFonts w:asciiTheme="minorEastAsia" w:hAnsiTheme="minorEastAsia" w:cstheme="minorEastAsia"/>
          <w:b/>
          <w:bCs/>
          <w:szCs w:val="21"/>
        </w:rPr>
      </w:pPr>
      <w:r>
        <w:rPr>
          <w:rFonts w:hint="eastAsia" w:asciiTheme="minorEastAsia" w:hAnsiTheme="minorEastAsia" w:cstheme="minorEastAsia"/>
          <w:b/>
          <w:bCs/>
          <w:szCs w:val="21"/>
          <w:lang w:val="en-US" w:eastAsia="zh-CN"/>
        </w:rPr>
        <w:t>4</w:t>
      </w:r>
      <w:r>
        <w:rPr>
          <w:rFonts w:hint="eastAsia" w:asciiTheme="minorEastAsia" w:hAnsiTheme="minorEastAsia" w:cstheme="minorEastAsia"/>
          <w:b/>
          <w:bCs/>
          <w:szCs w:val="21"/>
        </w:rPr>
        <w:t xml:space="preserve">、本人理解并同意，被授权人可与下述公司、组织共享本人的个人信息：为实现交易及信息查询功能目的，将个人基本信息、账户信息、金融交易信息、设备及位置信息披露给收单银行、支付机构、银行卡组织、清算机构。    </w:t>
      </w:r>
    </w:p>
    <w:p>
      <w:pPr>
        <w:spacing w:line="380" w:lineRule="exact"/>
        <w:ind w:firstLine="422" w:firstLineChars="200"/>
        <w:jc w:val="left"/>
        <w:rPr>
          <w:rFonts w:asciiTheme="minorEastAsia" w:hAnsiTheme="minorEastAsia" w:cstheme="minorEastAsia"/>
          <w:bCs/>
          <w:szCs w:val="21"/>
        </w:rPr>
      </w:pPr>
      <w:r>
        <w:rPr>
          <w:rFonts w:hint="eastAsia" w:asciiTheme="minorEastAsia" w:hAnsiTheme="minorEastAsia" w:cstheme="minorEastAsia"/>
          <w:b/>
          <w:bCs/>
          <w:szCs w:val="21"/>
        </w:rPr>
        <w:t>上述第三方信息处理机构存在不定期更新，以被授权人最新公告或通知内容为准。</w:t>
      </w:r>
    </w:p>
    <w:p>
      <w:pPr>
        <w:spacing w:line="380" w:lineRule="exact"/>
        <w:ind w:firstLine="420" w:firstLineChars="200"/>
        <w:rPr>
          <w:rFonts w:ascii="黑体" w:hAnsi="黑体" w:eastAsia="黑体" w:cs="黑体"/>
          <w:bCs/>
          <w:szCs w:val="21"/>
        </w:rPr>
      </w:pPr>
      <w:r>
        <w:rPr>
          <w:rFonts w:hint="eastAsia" w:ascii="黑体" w:hAnsi="黑体" w:eastAsia="黑体" w:cs="黑体"/>
          <w:bCs/>
          <w:szCs w:val="21"/>
        </w:rPr>
        <w:t>三、推荐或营销金融产品与服务</w:t>
      </w:r>
    </w:p>
    <w:p>
      <w:pPr>
        <w:spacing w:line="380" w:lineRule="exact"/>
        <w:ind w:firstLine="422" w:firstLineChars="200"/>
        <w:jc w:val="left"/>
        <w:rPr>
          <w:rFonts w:asciiTheme="minorEastAsia" w:hAnsiTheme="minorEastAsia" w:cstheme="minorEastAsia"/>
          <w:b/>
          <w:bCs/>
          <w:color w:val="auto"/>
          <w:szCs w:val="21"/>
        </w:rPr>
      </w:pPr>
      <w:r>
        <w:rPr>
          <w:rFonts w:hint="eastAsia" w:asciiTheme="minorEastAsia" w:hAnsiTheme="minorEastAsia" w:cstheme="minorEastAsia"/>
          <w:b/>
          <w:bCs/>
          <w:szCs w:val="21"/>
        </w:rPr>
        <w:t>同意并授权，请打勾</w:t>
      </w:r>
      <w:r>
        <w:rPr>
          <w:rFonts w:hint="eastAsia" w:asciiTheme="minorEastAsia" w:hAnsiTheme="minorEastAsia" w:cstheme="minorEastAsia"/>
          <w:b/>
          <w:bCs/>
          <w:szCs w:val="21"/>
        </w:rPr>
        <w:sym w:font="Wingdings 2" w:char="00A3"/>
      </w:r>
    </w:p>
    <w:p>
      <w:pPr>
        <w:spacing w:line="380" w:lineRule="exact"/>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为更好地向本人提供金融产品与服务，本人同意被授权人及其子公司、关联公司、合作方共享本人的个人基本信息和账户交易信息，并通过短信、电话、邮寄等方式为本人推荐产品/服务、用户体验改进、市场调查。如未勾选，则视为本人不愿意接收此类信息；勾选后，本人可随时通过拨打上海银行客户服务热线95594取消营销信息推送。</w:t>
      </w:r>
    </w:p>
    <w:p>
      <w:pPr>
        <w:spacing w:line="380" w:lineRule="exact"/>
        <w:ind w:firstLine="420" w:firstLineChars="200"/>
        <w:rPr>
          <w:rFonts w:ascii="黑体" w:hAnsi="黑体" w:eastAsia="黑体" w:cs="黑体"/>
          <w:bCs/>
          <w:szCs w:val="21"/>
        </w:rPr>
      </w:pPr>
      <w:r>
        <w:rPr>
          <w:rFonts w:hint="eastAsia" w:ascii="黑体" w:hAnsi="黑体" w:eastAsia="黑体" w:cs="黑体"/>
          <w:bCs/>
          <w:szCs w:val="21"/>
        </w:rPr>
        <w:t>四、被授权人承诺</w:t>
      </w:r>
    </w:p>
    <w:p>
      <w:pPr>
        <w:spacing w:line="380" w:lineRule="exact"/>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1、被授权人承诺不会处理与提供产品和服务目的无关的个人信息，在信息处理过程中被授权人将遵循诚实信用原则，并限于实现处理目的的最小范围。</w:t>
      </w:r>
    </w:p>
    <w:p>
      <w:pPr>
        <w:spacing w:line="380" w:lineRule="exact"/>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2、被授权人对本人提供的所有个人信息履行保密义务，对于超出本人授权的一切后果和法律责任由被授权人承担，本人知悉并充分理解本授权书的个人信息处理授权条款，并同意被授权人保留相关资料。</w:t>
      </w:r>
    </w:p>
    <w:p>
      <w:pPr>
        <w:spacing w:line="380" w:lineRule="exact"/>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3、在处理本人个人信息时，为保障本人的信息安全，被授权人承诺会采取必要的技术安全措施和管理手段，最大程度降低本人的个人信息被不当使用、泄露、损毁、误用、非授权访问、非授权披露和更改的风险，包括但不限于严格限制被授权人员工接触权限、制定个人信息安全事件应急演练机制、建立健全的个人信息保护制度、对被授权人员工进行相关法律合规宣导等。</w:t>
      </w:r>
    </w:p>
    <w:p>
      <w:pPr>
        <w:spacing w:line="380" w:lineRule="exact"/>
        <w:ind w:firstLine="420" w:firstLineChars="200"/>
        <w:jc w:val="left"/>
        <w:rPr>
          <w:rFonts w:asciiTheme="minorEastAsia" w:hAnsiTheme="minorEastAsia" w:cstheme="minorEastAsia"/>
          <w:b/>
          <w:bCs/>
          <w:szCs w:val="21"/>
        </w:rPr>
      </w:pPr>
      <w:r>
        <w:rPr>
          <w:rFonts w:hint="eastAsia" w:asciiTheme="minorEastAsia" w:hAnsiTheme="minorEastAsia" w:cstheme="minorEastAsia"/>
          <w:szCs w:val="21"/>
        </w:rPr>
        <w:t>4、被授权人应严格依照法律规定，将本人的个人信息存储于中国境内。</w:t>
      </w:r>
    </w:p>
    <w:p>
      <w:pPr>
        <w:spacing w:line="380" w:lineRule="exact"/>
        <w:ind w:firstLine="420" w:firstLineChars="200"/>
        <w:rPr>
          <w:rFonts w:ascii="黑体" w:hAnsi="黑体" w:eastAsia="黑体" w:cs="黑体"/>
          <w:bCs/>
          <w:szCs w:val="21"/>
        </w:rPr>
      </w:pPr>
      <w:r>
        <w:rPr>
          <w:rFonts w:hint="eastAsia" w:ascii="黑体" w:hAnsi="黑体" w:eastAsia="黑体" w:cs="黑体"/>
          <w:bCs/>
          <w:szCs w:val="21"/>
        </w:rPr>
        <w:t>五、授权可能后果</w:t>
      </w:r>
    </w:p>
    <w:p>
      <w:pPr>
        <w:spacing w:line="380" w:lineRule="exact"/>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1、本人知晓并理解，被授权人因业务或管理需要或在提供服务中可能会使被授权人以外的必要第三方获悉本人的个人信息。由于不可抗力，或非被授权人原因导致的系统故障、网络遭受攻击等，可能致使本人的个人信息的处理会对本人造成不利的后果和风险，这些不利的后果和风险包括：财产安全受到侵害、被第三方不当使用、社会信用评价降低等情形。</w:t>
      </w:r>
    </w:p>
    <w:p>
      <w:pPr>
        <w:spacing w:line="380" w:lineRule="exact"/>
        <w:ind w:firstLine="420" w:firstLineChars="200"/>
        <w:jc w:val="left"/>
        <w:rPr>
          <w:rFonts w:asciiTheme="minorEastAsia" w:hAnsiTheme="minorEastAsia" w:cstheme="minorEastAsia"/>
          <w:b/>
          <w:bCs/>
          <w:szCs w:val="21"/>
        </w:rPr>
      </w:pPr>
      <w:r>
        <w:rPr>
          <w:rFonts w:hint="eastAsia" w:asciiTheme="minorEastAsia" w:hAnsiTheme="minorEastAsia" w:cstheme="minorEastAsia"/>
          <w:szCs w:val="21"/>
        </w:rPr>
        <w:t>2、若发生个人信息泄露等安全事件，被授权人有权启动应急预案，阻止安全事件扩大，并以推送通知、公告等形式尽快告知本人。如本人发现个人信息可能或已经泄露，将立即通过至被授权人营业网点、拨打被授权人客户服务热线等方式与被授权人取得联系，以便被授权人第一时间采取相应措施避免或降低相关影响和损失。</w:t>
      </w:r>
    </w:p>
    <w:p>
      <w:pPr>
        <w:spacing w:line="380" w:lineRule="exact"/>
        <w:ind w:firstLine="420" w:firstLineChars="200"/>
        <w:rPr>
          <w:rFonts w:ascii="黑体" w:hAnsi="黑体" w:eastAsia="黑体" w:cs="黑体"/>
          <w:bCs/>
          <w:szCs w:val="21"/>
        </w:rPr>
      </w:pPr>
      <w:r>
        <w:rPr>
          <w:rFonts w:hint="eastAsia" w:ascii="黑体" w:hAnsi="黑体" w:eastAsia="黑体" w:cs="黑体"/>
          <w:bCs/>
          <w:szCs w:val="21"/>
        </w:rPr>
        <w:t>六、授权信息储存及转移</w:t>
      </w:r>
    </w:p>
    <w:p>
      <w:pPr>
        <w:spacing w:line="380" w:lineRule="exact"/>
        <w:ind w:firstLine="420" w:firstLineChars="200"/>
        <w:jc w:val="left"/>
        <w:rPr>
          <w:rFonts w:asciiTheme="minorEastAsia" w:hAnsiTheme="minorEastAsia" w:cstheme="minorEastAsia"/>
          <w:b/>
          <w:bCs/>
          <w:color w:val="auto"/>
          <w:szCs w:val="21"/>
        </w:rPr>
      </w:pPr>
      <w:r>
        <w:rPr>
          <w:rFonts w:hint="eastAsia" w:asciiTheme="minorEastAsia" w:hAnsiTheme="minorEastAsia" w:cstheme="minorEastAsia"/>
          <w:szCs w:val="21"/>
        </w:rPr>
        <w:t>1、被授权人仅在为提供本授权书项下产品和服务之目的所必需的期间内处理相关个人信息，超出必要期限后，被授权人将对本人的个人信息进行删除或匿名化处理，除非法律法规另有规定或另行取得本人授权同意。本人的个人信息的储存主要参考以下标准，并为被授权人实现处理目的所必要的最短时间：</w:t>
      </w:r>
    </w:p>
    <w:p>
      <w:pPr>
        <w:spacing w:line="380" w:lineRule="exact"/>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（1）被授权人为完成本人相关的交易目的、维护相应交易及业务记录，或应对本人可能的查询、投诉、举报、诉讼，以及被授权履行法定义务等；</w:t>
      </w:r>
    </w:p>
    <w:p>
      <w:pPr>
        <w:spacing w:line="380" w:lineRule="exact"/>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（2）保证为本人提供产品服务的安全和质量；</w:t>
      </w:r>
    </w:p>
    <w:p>
      <w:pPr>
        <w:spacing w:line="380" w:lineRule="exact"/>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（3）存在关于处理期限的其他特别约定或法律法规规定。</w:t>
      </w:r>
    </w:p>
    <w:p>
      <w:pPr>
        <w:spacing w:line="380" w:lineRule="exact"/>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2、除非另有约定，否则被授权人不会将本人的个人信息转移给任何公司、组织和个人，但以下情况除外：</w:t>
      </w:r>
    </w:p>
    <w:p>
      <w:pPr>
        <w:spacing w:line="380" w:lineRule="exact"/>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（1）基于法律法规或其他法律强制性要求；</w:t>
      </w:r>
    </w:p>
    <w:p>
      <w:pPr>
        <w:spacing w:line="380" w:lineRule="exact"/>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（2）根据与本人签署的相关协议或其他的法律性文件的约定向第三方转移。</w:t>
      </w:r>
    </w:p>
    <w:p>
      <w:pPr>
        <w:spacing w:line="380" w:lineRule="exact"/>
        <w:ind w:firstLine="420" w:firstLineChars="200"/>
        <w:rPr>
          <w:rFonts w:ascii="黑体" w:hAnsi="黑体" w:eastAsia="黑体" w:cs="黑体"/>
          <w:bCs/>
          <w:szCs w:val="21"/>
        </w:rPr>
      </w:pPr>
      <w:r>
        <w:rPr>
          <w:rFonts w:hint="eastAsia" w:ascii="黑体" w:hAnsi="黑体" w:eastAsia="黑体" w:cs="黑体"/>
          <w:bCs/>
          <w:szCs w:val="21"/>
        </w:rPr>
        <w:t>七、其它</w:t>
      </w:r>
    </w:p>
    <w:p>
      <w:pPr>
        <w:spacing w:line="380" w:lineRule="exact"/>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1、本授权具有独立性，不因业务合同的任何条款无效而无效。</w:t>
      </w:r>
    </w:p>
    <w:p>
      <w:pPr>
        <w:spacing w:line="380" w:lineRule="exact"/>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2、本授权自本人点击/签名/签章，或以其他方式确认本授权书之日起生效。</w:t>
      </w:r>
    </w:p>
    <w:p>
      <w:pPr>
        <w:spacing w:line="380" w:lineRule="exact"/>
        <w:ind w:firstLine="420" w:firstLineChars="200"/>
        <w:jc w:val="left"/>
        <w:rPr>
          <w:rFonts w:hint="eastAsia" w:asciiTheme="minorEastAsia" w:hAnsiTheme="minorEastAsia" w:cstheme="minorEastAsia"/>
          <w:szCs w:val="21"/>
        </w:rPr>
      </w:pPr>
      <w:r>
        <w:rPr>
          <w:rFonts w:hint="eastAsia" w:asciiTheme="minorEastAsia" w:hAnsiTheme="minorEastAsia" w:cstheme="minorEastAsia"/>
          <w:szCs w:val="21"/>
        </w:rPr>
        <w:t>3、授权人有权向被授权人查询、复制、更正、补充及删除</w:t>
      </w:r>
      <w:r>
        <w:rPr>
          <w:rFonts w:hint="eastAsia" w:asciiTheme="minorEastAsia" w:hAnsiTheme="minorEastAsia" w:cstheme="minorEastAsia"/>
          <w:szCs w:val="21"/>
          <w:lang w:val="en-US" w:eastAsia="zh-CN"/>
        </w:rPr>
        <w:t>授权人</w:t>
      </w:r>
      <w:r>
        <w:rPr>
          <w:rFonts w:hint="eastAsia" w:asciiTheme="minorEastAsia" w:hAnsiTheme="minorEastAsia" w:cstheme="minorEastAsia"/>
          <w:szCs w:val="21"/>
        </w:rPr>
        <w:t>的个人信息（法律规定或《上海银行个人银行电子账户服务协议》</w:t>
      </w:r>
      <w:r>
        <w:rPr>
          <w:rFonts w:asciiTheme="minorEastAsia" w:hAnsiTheme="minorEastAsia" w:cstheme="minorEastAsia"/>
          <w:szCs w:val="21"/>
        </w:rPr>
        <w:t>或</w:t>
      </w:r>
      <w:r>
        <w:rPr>
          <w:rFonts w:hint="eastAsia" w:asciiTheme="minorEastAsia" w:hAnsiTheme="minorEastAsia" w:cstheme="minorEastAsia"/>
          <w:szCs w:val="21"/>
        </w:rPr>
        <w:t>本授权书另有约定除外），并有权要求</w:t>
      </w:r>
      <w:r>
        <w:rPr>
          <w:rFonts w:hint="eastAsia" w:asciiTheme="minorEastAsia" w:hAnsiTheme="minorEastAsia" w:cstheme="minorEastAsia"/>
          <w:szCs w:val="21"/>
          <w:lang w:val="en-US" w:eastAsia="zh-CN"/>
        </w:rPr>
        <w:t>被授权人</w:t>
      </w:r>
      <w:r>
        <w:rPr>
          <w:rFonts w:hint="eastAsia" w:asciiTheme="minorEastAsia" w:hAnsiTheme="minorEastAsia" w:cstheme="minorEastAsia"/>
          <w:szCs w:val="21"/>
        </w:rPr>
        <w:t>对个人信息处理规则进行解释。</w:t>
      </w:r>
      <w:r>
        <w:rPr>
          <w:rFonts w:hint="eastAsia" w:asciiTheme="minorEastAsia" w:hAnsiTheme="minorEastAsia" w:cstheme="minorEastAsia"/>
          <w:szCs w:val="21"/>
          <w:lang w:val="en-US" w:eastAsia="zh-CN"/>
        </w:rPr>
        <w:t>授权人</w:t>
      </w:r>
      <w:r>
        <w:rPr>
          <w:rFonts w:hint="eastAsia" w:asciiTheme="minorEastAsia" w:hAnsiTheme="minorEastAsia" w:cstheme="minorEastAsia"/>
          <w:szCs w:val="21"/>
        </w:rPr>
        <w:t>可通过拨打上海银行客户服务热线95594等方式行使上述权利。</w:t>
      </w:r>
    </w:p>
    <w:p>
      <w:pPr>
        <w:spacing w:line="380" w:lineRule="exact"/>
        <w:ind w:firstLine="420" w:firstLineChars="200"/>
        <w:jc w:val="left"/>
        <w:rPr>
          <w:rFonts w:ascii="黑体" w:hAnsi="黑体" w:eastAsia="黑体" w:cs="黑体"/>
          <w:bCs/>
          <w:szCs w:val="21"/>
        </w:rPr>
      </w:pPr>
      <w:r>
        <w:rPr>
          <w:rFonts w:hint="eastAsia" w:ascii="黑体" w:hAnsi="黑体" w:eastAsia="黑体" w:cs="黑体"/>
          <w:bCs/>
          <w:szCs w:val="21"/>
        </w:rPr>
        <w:t>八、第三方信息处理机构联系方式</w:t>
      </w:r>
    </w:p>
    <w:p>
      <w:pPr>
        <w:spacing w:line="380" w:lineRule="exact"/>
        <w:ind w:firstLine="420" w:firstLineChars="200"/>
        <w:jc w:val="left"/>
        <w:rPr>
          <w:rFonts w:ascii="黑体" w:hAnsi="黑体" w:eastAsia="黑体" w:cs="黑体"/>
          <w:szCs w:val="21"/>
        </w:rPr>
      </w:pPr>
      <w:r>
        <w:rPr>
          <w:rFonts w:hint="eastAsia" w:ascii="黑体" w:hAnsi="黑体" w:eastAsia="黑体" w:cs="黑体"/>
          <w:szCs w:val="21"/>
        </w:rPr>
        <w:t>合作方名称：</w:t>
      </w:r>
    </w:p>
    <w:p>
      <w:pPr>
        <w:spacing w:line="380" w:lineRule="exact"/>
        <w:ind w:firstLine="420" w:firstLineChars="200"/>
        <w:jc w:val="left"/>
        <w:rPr>
          <w:rFonts w:ascii="黑体" w:hAnsi="黑体" w:eastAsia="黑体" w:cs="黑体"/>
          <w:szCs w:val="21"/>
        </w:rPr>
      </w:pPr>
      <w:r>
        <w:rPr>
          <w:rFonts w:hint="eastAsia" w:ascii="黑体" w:hAnsi="黑体" w:eastAsia="黑体" w:cs="黑体"/>
          <w:szCs w:val="21"/>
        </w:rPr>
        <w:t>合作方联系地址：</w:t>
      </w:r>
    </w:p>
    <w:p>
      <w:pPr>
        <w:spacing w:line="380" w:lineRule="exact"/>
        <w:ind w:firstLine="420" w:firstLineChars="200"/>
        <w:jc w:val="left"/>
        <w:rPr>
          <w:rFonts w:ascii="黑体" w:hAnsi="黑体" w:eastAsia="黑体" w:cs="黑体"/>
          <w:szCs w:val="21"/>
        </w:rPr>
      </w:pPr>
      <w:r>
        <w:rPr>
          <w:rFonts w:hint="eastAsia" w:ascii="黑体" w:hAnsi="黑体" w:eastAsia="黑体" w:cs="黑体"/>
          <w:szCs w:val="21"/>
        </w:rPr>
        <w:t>合作方公司网址：</w:t>
      </w:r>
    </w:p>
    <w:p>
      <w:pPr>
        <w:spacing w:line="380" w:lineRule="exact"/>
        <w:ind w:firstLine="420" w:firstLineChars="200"/>
        <w:jc w:val="left"/>
        <w:rPr>
          <w:rFonts w:ascii="黑体" w:hAnsi="黑体" w:eastAsia="黑体" w:cs="黑体"/>
          <w:szCs w:val="21"/>
        </w:rPr>
      </w:pPr>
      <w:r>
        <w:rPr>
          <w:rFonts w:hint="eastAsia" w:ascii="黑体" w:hAnsi="黑体" w:eastAsia="黑体" w:cs="黑体"/>
          <w:szCs w:val="21"/>
        </w:rPr>
        <w:t>合作方联系电话：</w:t>
      </w:r>
    </w:p>
    <w:p>
      <w:pPr>
        <w:spacing w:line="380" w:lineRule="exact"/>
        <w:ind w:firstLine="420" w:firstLineChars="200"/>
        <w:jc w:val="left"/>
        <w:rPr>
          <w:rFonts w:ascii="黑体" w:hAnsi="黑体" w:eastAsia="黑体" w:cs="黑体"/>
          <w:szCs w:val="21"/>
        </w:rPr>
      </w:pPr>
    </w:p>
    <w:p>
      <w:pPr>
        <w:spacing w:line="380" w:lineRule="exact"/>
        <w:ind w:firstLine="420" w:firstLineChars="200"/>
        <w:jc w:val="left"/>
        <w:rPr>
          <w:rFonts w:ascii="黑体" w:hAnsi="黑体" w:eastAsia="黑体" w:cs="黑体"/>
          <w:szCs w:val="21"/>
        </w:rPr>
      </w:pPr>
      <w:r>
        <w:rPr>
          <w:rFonts w:hint="eastAsia" w:ascii="黑体" w:hAnsi="黑体" w:eastAsia="黑体" w:cs="黑体"/>
          <w:szCs w:val="21"/>
        </w:rPr>
        <w:t>合作方名称：中国银联股份有限公司</w:t>
      </w:r>
    </w:p>
    <w:p>
      <w:pPr>
        <w:spacing w:line="380" w:lineRule="exact"/>
        <w:ind w:firstLine="420" w:firstLineChars="200"/>
        <w:jc w:val="left"/>
        <w:rPr>
          <w:rFonts w:ascii="黑体" w:hAnsi="黑体" w:eastAsia="黑体" w:cs="黑体"/>
          <w:szCs w:val="21"/>
        </w:rPr>
      </w:pPr>
      <w:r>
        <w:rPr>
          <w:rFonts w:hint="eastAsia" w:ascii="黑体" w:hAnsi="黑体" w:eastAsia="黑体" w:cs="黑体"/>
          <w:szCs w:val="21"/>
        </w:rPr>
        <w:t>合作方联系地址：上海市浦东新区锦绣路998号</w:t>
      </w:r>
    </w:p>
    <w:p>
      <w:pPr>
        <w:spacing w:line="380" w:lineRule="exact"/>
        <w:ind w:firstLine="420" w:firstLineChars="200"/>
        <w:jc w:val="left"/>
        <w:rPr>
          <w:rFonts w:ascii="黑体" w:hAnsi="黑体" w:eastAsia="黑体" w:cs="黑体"/>
          <w:szCs w:val="21"/>
        </w:rPr>
      </w:pPr>
      <w:r>
        <w:rPr>
          <w:rFonts w:hint="eastAsia" w:ascii="黑体" w:hAnsi="黑体" w:eastAsia="黑体" w:cs="黑体"/>
          <w:szCs w:val="21"/>
        </w:rPr>
        <w:t>合作方公司网址：www.unionpay.com</w:t>
      </w:r>
    </w:p>
    <w:p>
      <w:pPr>
        <w:spacing w:line="380" w:lineRule="exact"/>
        <w:ind w:firstLine="420" w:firstLineChars="200"/>
        <w:jc w:val="left"/>
        <w:rPr>
          <w:rFonts w:asciiTheme="minorEastAsia" w:hAnsiTheme="minorEastAsia" w:cstheme="minorEastAsia"/>
          <w:szCs w:val="21"/>
        </w:rPr>
      </w:pPr>
    </w:p>
    <w:p>
      <w:pPr>
        <w:spacing w:line="380" w:lineRule="exact"/>
        <w:ind w:firstLine="422" w:firstLineChars="200"/>
        <w:jc w:val="left"/>
        <w:rPr>
          <w:rFonts w:asciiTheme="minorEastAsia" w:hAnsiTheme="minorEastAsia" w:cstheme="minorEastAsia"/>
          <w:b/>
          <w:bCs/>
          <w:szCs w:val="21"/>
        </w:rPr>
      </w:pPr>
      <w:r>
        <w:rPr>
          <w:rFonts w:hint="eastAsia" w:asciiTheme="minorEastAsia" w:hAnsiTheme="minorEastAsia" w:cstheme="minorEastAsia"/>
          <w:b/>
          <w:bCs/>
          <w:szCs w:val="21"/>
        </w:rPr>
        <w:t xml:space="preserve">本人声明：本人已仔细阅读上述所有条款，并已特别注意加粗字体内容，被授权人已应本人要求对相关条款予以详细的解释说明。本人对所有条款的含义及相应的法律后果已充分知悉理解并同意，自愿做出上述授权承诺。    </w:t>
      </w:r>
    </w:p>
    <w:p>
      <w:pPr>
        <w:spacing w:line="380" w:lineRule="exact"/>
        <w:ind w:left="4620" w:firstLine="422" w:firstLineChars="200"/>
        <w:jc w:val="left"/>
        <w:rPr>
          <w:rFonts w:asciiTheme="minorEastAsia" w:hAnsiTheme="minorEastAsia" w:cstheme="minorEastAsia"/>
          <w:b/>
          <w:bCs/>
          <w:szCs w:val="21"/>
        </w:rPr>
      </w:pPr>
      <w:r>
        <w:rPr>
          <w:rFonts w:hint="eastAsia" w:asciiTheme="minorEastAsia" w:hAnsiTheme="minorEastAsia" w:cstheme="minorEastAsia"/>
          <w:b/>
          <w:bCs/>
          <w:szCs w:val="21"/>
        </w:rPr>
        <w:t>授权人：     授权日期：</w:t>
      </w:r>
    </w:p>
    <w:p>
      <w:pPr>
        <w:widowControl/>
        <w:shd w:val="clear" w:color="auto" w:fill="FFFFFF"/>
        <w:spacing w:line="380" w:lineRule="exact"/>
        <w:ind w:firstLine="420" w:firstLineChars="200"/>
        <w:rPr>
          <w:rFonts w:asciiTheme="minorEastAsia" w:hAnsiTheme="minorEastAsia" w:cstheme="minorEastAsia"/>
          <w:kern w:val="0"/>
          <w:szCs w:val="21"/>
          <w:shd w:val="clear" w:color="auto" w:fill="FFFFFF"/>
          <w:lang w:bidi="ar"/>
        </w:rPr>
      </w:pPr>
    </w:p>
    <w:sectPr>
      <w:footerReference r:id="rId5" w:type="first"/>
      <w:headerReference r:id="rId3" w:type="default"/>
      <w:footerReference r:id="rId4"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宋体"/>
      </w:rPr>
      <w:id w:val="236976852"/>
    </w:sdtPr>
    <w:sdtEndPr>
      <w:rPr>
        <w:rFonts w:ascii="Times New Roman" w:hAnsi="Times New Roman" w:eastAsia="宋体"/>
      </w:rPr>
    </w:sdtEndPr>
    <w:sdtContent>
      <w:sdt>
        <w:sdtPr>
          <w:rPr>
            <w:rFonts w:ascii="Times New Roman" w:hAnsi="Times New Roman" w:eastAsia="宋体"/>
          </w:rPr>
          <w:id w:val="1728636285"/>
        </w:sdtPr>
        <w:sdtEndPr>
          <w:rPr>
            <w:rFonts w:ascii="Times New Roman" w:hAnsi="Times New Roman" w:eastAsia="宋体"/>
          </w:rPr>
        </w:sdtEndPr>
        <w:sdtContent>
          <w:p>
            <w:pPr>
              <w:pStyle w:val="13"/>
              <w:jc w:val="center"/>
              <w:rPr>
                <w:rFonts w:ascii="Times New Roman" w:hAnsi="Times New Roman" w:eastAsia="宋体"/>
              </w:rPr>
            </w:pPr>
            <w:r>
              <w:rPr>
                <w:rFonts w:ascii="Times New Roman" w:hAnsi="Times New Roman" w:eastAsia="宋体"/>
                <w:b/>
                <w:bCs/>
                <w:kern w:val="0"/>
                <w:szCs w:val="24"/>
              </w:rPr>
              <w:fldChar w:fldCharType="begin"/>
            </w:r>
            <w:r>
              <w:rPr>
                <w:rFonts w:ascii="Times New Roman" w:hAnsi="Times New Roman" w:eastAsia="宋体"/>
                <w:b/>
                <w:bCs/>
                <w:kern w:val="0"/>
              </w:rPr>
              <w:instrText xml:space="preserve">PAGE</w:instrText>
            </w:r>
            <w:r>
              <w:rPr>
                <w:rFonts w:ascii="Times New Roman" w:hAnsi="Times New Roman" w:eastAsia="宋体"/>
                <w:b/>
                <w:bCs/>
                <w:kern w:val="0"/>
                <w:szCs w:val="24"/>
              </w:rPr>
              <w:fldChar w:fldCharType="separate"/>
            </w:r>
            <w:r>
              <w:rPr>
                <w:rFonts w:ascii="Times New Roman" w:hAnsi="Times New Roman" w:eastAsia="宋体"/>
                <w:b/>
                <w:bCs/>
                <w:kern w:val="0"/>
              </w:rPr>
              <w:t>13</w:t>
            </w:r>
            <w:r>
              <w:rPr>
                <w:rFonts w:ascii="Times New Roman" w:hAnsi="Times New Roman" w:eastAsia="宋体"/>
                <w:b/>
                <w:bCs/>
                <w:kern w:val="0"/>
                <w:szCs w:val="24"/>
              </w:rPr>
              <w:fldChar w:fldCharType="end"/>
            </w:r>
            <w:r>
              <w:rPr>
                <w:rFonts w:ascii="Times New Roman" w:hAnsi="Times New Roman" w:eastAsia="宋体"/>
                <w:kern w:val="0"/>
                <w:lang w:val="zh-CN"/>
              </w:rPr>
              <w:t xml:space="preserve"> / </w:t>
            </w:r>
            <w:r>
              <w:rPr>
                <w:rFonts w:ascii="Times New Roman" w:hAnsi="Times New Roman" w:eastAsia="宋体"/>
                <w:b/>
                <w:bCs/>
                <w:kern w:val="0"/>
                <w:szCs w:val="24"/>
              </w:rPr>
              <w:fldChar w:fldCharType="begin"/>
            </w:r>
            <w:r>
              <w:rPr>
                <w:rFonts w:ascii="Times New Roman" w:hAnsi="Times New Roman" w:eastAsia="宋体"/>
                <w:b/>
                <w:bCs/>
                <w:kern w:val="0"/>
              </w:rPr>
              <w:instrText xml:space="preserve">NUMPAGES</w:instrText>
            </w:r>
            <w:r>
              <w:rPr>
                <w:rFonts w:ascii="Times New Roman" w:hAnsi="Times New Roman" w:eastAsia="宋体"/>
                <w:b/>
                <w:bCs/>
                <w:kern w:val="0"/>
                <w:szCs w:val="24"/>
              </w:rPr>
              <w:fldChar w:fldCharType="separate"/>
            </w:r>
            <w:r>
              <w:rPr>
                <w:rFonts w:ascii="Times New Roman" w:hAnsi="Times New Roman" w:eastAsia="宋体"/>
                <w:b/>
                <w:bCs/>
                <w:kern w:val="0"/>
              </w:rPr>
              <w:t>13</w:t>
            </w:r>
            <w:r>
              <w:rPr>
                <w:rFonts w:ascii="Times New Roman" w:hAnsi="Times New Roman" w:eastAsia="宋体"/>
                <w:b/>
                <w:bCs/>
                <w:kern w:val="0"/>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Arial" w:hAnsi="Arial" w:eastAsia="楷体"/>
      </w:rPr>
    </w:pPr>
    <w:r>
      <w:rPr>
        <w:rFonts w:ascii="Arial" w:hAnsi="Arial" w:eastAsia="楷体"/>
      </w:rPr>
      <w:t>202</w:t>
    </w:r>
    <w:r>
      <w:rPr>
        <w:rFonts w:hint="eastAsia" w:ascii="Arial" w:hAnsi="Arial" w:eastAsia="楷体"/>
        <w:lang w:val="en-US" w:eastAsia="zh-CN"/>
      </w:rPr>
      <w:t>2</w:t>
    </w:r>
    <w:r>
      <w:rPr>
        <w:rFonts w:ascii="Arial" w:hAnsi="Arial" w:eastAsia="楷体"/>
      </w:rPr>
      <w:t>.v01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eastAsia="楷体"/>
      </w:rPr>
    </w:pPr>
    <w:r>
      <w:rPr>
        <w:rFonts w:hint="eastAsia" w:eastAsia="楷体"/>
      </w:rPr>
      <w:t>上海银行个人银行电子账户服务协议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8120BD"/>
    <w:multiLevelType w:val="multilevel"/>
    <w:tmpl w:val="7D8120BD"/>
    <w:lvl w:ilvl="0" w:tentative="0">
      <w:start w:val="1"/>
      <w:numFmt w:val="chineseCountingThousand"/>
      <w:pStyle w:val="2"/>
      <w:suff w:val="nothing"/>
      <w:lvlText w:val="第%1章"/>
      <w:lvlJc w:val="left"/>
      <w:pPr>
        <w:ind w:left="3960" w:firstLine="0"/>
      </w:pPr>
      <w:rPr>
        <w:rFonts w:hint="default"/>
        <w:lang w:val="en-US"/>
      </w:rPr>
    </w:lvl>
    <w:lvl w:ilvl="1" w:tentative="0">
      <w:start w:val="1"/>
      <w:numFmt w:val="none"/>
      <w:pStyle w:val="3"/>
      <w:suff w:val="nothing"/>
      <w:lvlText w:val=""/>
      <w:lvlJc w:val="left"/>
      <w:pPr>
        <w:ind w:left="0" w:firstLine="0"/>
      </w:pPr>
    </w:lvl>
    <w:lvl w:ilvl="2" w:tentative="0">
      <w:start w:val="1"/>
      <w:numFmt w:val="none"/>
      <w:pStyle w:val="4"/>
      <w:suff w:val="nothing"/>
      <w:lvlText w:val=""/>
      <w:lvlJc w:val="left"/>
      <w:pPr>
        <w:ind w:left="0" w:firstLine="0"/>
      </w:pPr>
    </w:lvl>
    <w:lvl w:ilvl="3" w:tentative="0">
      <w:start w:val="1"/>
      <w:numFmt w:val="none"/>
      <w:pStyle w:val="5"/>
      <w:suff w:val="nothing"/>
      <w:lvlText w:val=""/>
      <w:lvlJc w:val="left"/>
      <w:pPr>
        <w:ind w:left="0" w:firstLine="0"/>
      </w:pPr>
    </w:lvl>
    <w:lvl w:ilvl="4" w:tentative="0">
      <w:start w:val="1"/>
      <w:numFmt w:val="none"/>
      <w:pStyle w:val="6"/>
      <w:suff w:val="nothing"/>
      <w:lvlText w:val=""/>
      <w:lvlJc w:val="left"/>
      <w:pPr>
        <w:ind w:left="0" w:firstLine="0"/>
      </w:pPr>
    </w:lvl>
    <w:lvl w:ilvl="5" w:tentative="0">
      <w:start w:val="1"/>
      <w:numFmt w:val="none"/>
      <w:pStyle w:val="7"/>
      <w:suff w:val="nothing"/>
      <w:lvlText w:val=""/>
      <w:lvlJc w:val="left"/>
      <w:pPr>
        <w:ind w:left="0" w:firstLine="0"/>
      </w:pPr>
    </w:lvl>
    <w:lvl w:ilvl="6" w:tentative="0">
      <w:start w:val="1"/>
      <w:numFmt w:val="none"/>
      <w:pStyle w:val="8"/>
      <w:suff w:val="nothing"/>
      <w:lvlText w:val=""/>
      <w:lvlJc w:val="left"/>
      <w:pPr>
        <w:ind w:left="0" w:firstLine="0"/>
      </w:pPr>
    </w:lvl>
    <w:lvl w:ilvl="7" w:tentative="0">
      <w:start w:val="1"/>
      <w:numFmt w:val="none"/>
      <w:pStyle w:val="9"/>
      <w:suff w:val="nothing"/>
      <w:lvlText w:val=""/>
      <w:lvlJc w:val="left"/>
      <w:pPr>
        <w:ind w:left="0" w:firstLine="0"/>
      </w:pPr>
    </w:lvl>
    <w:lvl w:ilvl="8" w:tentative="0">
      <w:start w:val="1"/>
      <w:numFmt w:val="none"/>
      <w:pStyle w:val="10"/>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50"/>
    <w:rsid w:val="00017FBF"/>
    <w:rsid w:val="000204AD"/>
    <w:rsid w:val="00040BBA"/>
    <w:rsid w:val="00044C6B"/>
    <w:rsid w:val="00055CE4"/>
    <w:rsid w:val="00070FB5"/>
    <w:rsid w:val="00087E01"/>
    <w:rsid w:val="00093E53"/>
    <w:rsid w:val="000C761A"/>
    <w:rsid w:val="000D0EEA"/>
    <w:rsid w:val="000E5A1F"/>
    <w:rsid w:val="00102CC2"/>
    <w:rsid w:val="00116575"/>
    <w:rsid w:val="00124DCA"/>
    <w:rsid w:val="00135EFC"/>
    <w:rsid w:val="001458D2"/>
    <w:rsid w:val="0015713B"/>
    <w:rsid w:val="00185E05"/>
    <w:rsid w:val="001861B1"/>
    <w:rsid w:val="001B3FC1"/>
    <w:rsid w:val="001B651B"/>
    <w:rsid w:val="001C225A"/>
    <w:rsid w:val="001C39E1"/>
    <w:rsid w:val="001C75B8"/>
    <w:rsid w:val="001D71A0"/>
    <w:rsid w:val="001F10A4"/>
    <w:rsid w:val="001F1C5A"/>
    <w:rsid w:val="001F3783"/>
    <w:rsid w:val="00201DE7"/>
    <w:rsid w:val="002079DA"/>
    <w:rsid w:val="0021625F"/>
    <w:rsid w:val="002316AC"/>
    <w:rsid w:val="00240371"/>
    <w:rsid w:val="0025214A"/>
    <w:rsid w:val="002632A2"/>
    <w:rsid w:val="002722CD"/>
    <w:rsid w:val="00276540"/>
    <w:rsid w:val="00286B88"/>
    <w:rsid w:val="00293666"/>
    <w:rsid w:val="002C0BF0"/>
    <w:rsid w:val="002C1DD5"/>
    <w:rsid w:val="002D319D"/>
    <w:rsid w:val="002F1237"/>
    <w:rsid w:val="00307ECF"/>
    <w:rsid w:val="003241DF"/>
    <w:rsid w:val="0032433D"/>
    <w:rsid w:val="00330A59"/>
    <w:rsid w:val="00331095"/>
    <w:rsid w:val="003317EE"/>
    <w:rsid w:val="00335BFE"/>
    <w:rsid w:val="0034631A"/>
    <w:rsid w:val="00363764"/>
    <w:rsid w:val="0037506A"/>
    <w:rsid w:val="003A1E0F"/>
    <w:rsid w:val="003B2759"/>
    <w:rsid w:val="003C317A"/>
    <w:rsid w:val="003E2CB4"/>
    <w:rsid w:val="003F7DE1"/>
    <w:rsid w:val="00444E82"/>
    <w:rsid w:val="00446685"/>
    <w:rsid w:val="00491258"/>
    <w:rsid w:val="00497894"/>
    <w:rsid w:val="004A2FAA"/>
    <w:rsid w:val="004B706B"/>
    <w:rsid w:val="004C240C"/>
    <w:rsid w:val="004D225E"/>
    <w:rsid w:val="004E0016"/>
    <w:rsid w:val="004E00B2"/>
    <w:rsid w:val="00511247"/>
    <w:rsid w:val="00513462"/>
    <w:rsid w:val="00543738"/>
    <w:rsid w:val="0055448E"/>
    <w:rsid w:val="00565A6C"/>
    <w:rsid w:val="005675F0"/>
    <w:rsid w:val="00571AE9"/>
    <w:rsid w:val="00572909"/>
    <w:rsid w:val="00574324"/>
    <w:rsid w:val="00582995"/>
    <w:rsid w:val="005B51F9"/>
    <w:rsid w:val="005C37DC"/>
    <w:rsid w:val="005C73CC"/>
    <w:rsid w:val="005F1111"/>
    <w:rsid w:val="005F1C09"/>
    <w:rsid w:val="005F73FD"/>
    <w:rsid w:val="0062795C"/>
    <w:rsid w:val="006427CF"/>
    <w:rsid w:val="00645152"/>
    <w:rsid w:val="00654048"/>
    <w:rsid w:val="006630C4"/>
    <w:rsid w:val="00665AEB"/>
    <w:rsid w:val="0066743F"/>
    <w:rsid w:val="0068537C"/>
    <w:rsid w:val="00692E87"/>
    <w:rsid w:val="00697763"/>
    <w:rsid w:val="006A4755"/>
    <w:rsid w:val="006A6EDC"/>
    <w:rsid w:val="006A7911"/>
    <w:rsid w:val="006A7912"/>
    <w:rsid w:val="006B59E8"/>
    <w:rsid w:val="006E0114"/>
    <w:rsid w:val="006E6DD8"/>
    <w:rsid w:val="006F6C43"/>
    <w:rsid w:val="007048AF"/>
    <w:rsid w:val="00736630"/>
    <w:rsid w:val="00752C73"/>
    <w:rsid w:val="00760726"/>
    <w:rsid w:val="00760D99"/>
    <w:rsid w:val="007838C6"/>
    <w:rsid w:val="00787C45"/>
    <w:rsid w:val="007A1C40"/>
    <w:rsid w:val="007A5294"/>
    <w:rsid w:val="007C3941"/>
    <w:rsid w:val="007C7CA9"/>
    <w:rsid w:val="007E0394"/>
    <w:rsid w:val="007E0BEF"/>
    <w:rsid w:val="007E6174"/>
    <w:rsid w:val="007E7A6C"/>
    <w:rsid w:val="007F5DF8"/>
    <w:rsid w:val="007F7255"/>
    <w:rsid w:val="008056EA"/>
    <w:rsid w:val="00805A01"/>
    <w:rsid w:val="00817D32"/>
    <w:rsid w:val="00821BDE"/>
    <w:rsid w:val="00825A50"/>
    <w:rsid w:val="00826229"/>
    <w:rsid w:val="0084320F"/>
    <w:rsid w:val="008626CE"/>
    <w:rsid w:val="0086471C"/>
    <w:rsid w:val="00866E99"/>
    <w:rsid w:val="00883408"/>
    <w:rsid w:val="00896050"/>
    <w:rsid w:val="008A460C"/>
    <w:rsid w:val="008A5DDF"/>
    <w:rsid w:val="008A7DF4"/>
    <w:rsid w:val="008B4466"/>
    <w:rsid w:val="008C3214"/>
    <w:rsid w:val="008D2B2B"/>
    <w:rsid w:val="008D662A"/>
    <w:rsid w:val="00910F56"/>
    <w:rsid w:val="0091228D"/>
    <w:rsid w:val="00912DF8"/>
    <w:rsid w:val="009243D4"/>
    <w:rsid w:val="009332CB"/>
    <w:rsid w:val="00933FE5"/>
    <w:rsid w:val="00942F56"/>
    <w:rsid w:val="009452AE"/>
    <w:rsid w:val="0094648C"/>
    <w:rsid w:val="00962F3E"/>
    <w:rsid w:val="0098205D"/>
    <w:rsid w:val="009878BE"/>
    <w:rsid w:val="00991252"/>
    <w:rsid w:val="009A7EF7"/>
    <w:rsid w:val="009B2440"/>
    <w:rsid w:val="009B407C"/>
    <w:rsid w:val="009B6FD6"/>
    <w:rsid w:val="009C062B"/>
    <w:rsid w:val="009D1B0F"/>
    <w:rsid w:val="009D55C7"/>
    <w:rsid w:val="009E0765"/>
    <w:rsid w:val="009F410D"/>
    <w:rsid w:val="009F4559"/>
    <w:rsid w:val="009F5505"/>
    <w:rsid w:val="00A02029"/>
    <w:rsid w:val="00A119E6"/>
    <w:rsid w:val="00A1544D"/>
    <w:rsid w:val="00A421F9"/>
    <w:rsid w:val="00A72E17"/>
    <w:rsid w:val="00A73801"/>
    <w:rsid w:val="00A76A38"/>
    <w:rsid w:val="00A80B86"/>
    <w:rsid w:val="00A862C1"/>
    <w:rsid w:val="00AB1B93"/>
    <w:rsid w:val="00AB5EBD"/>
    <w:rsid w:val="00B018F8"/>
    <w:rsid w:val="00B03F34"/>
    <w:rsid w:val="00B12333"/>
    <w:rsid w:val="00B124CD"/>
    <w:rsid w:val="00B12805"/>
    <w:rsid w:val="00B2312E"/>
    <w:rsid w:val="00B37E9B"/>
    <w:rsid w:val="00B45D62"/>
    <w:rsid w:val="00B536A0"/>
    <w:rsid w:val="00B65698"/>
    <w:rsid w:val="00B72637"/>
    <w:rsid w:val="00B9599D"/>
    <w:rsid w:val="00B9657F"/>
    <w:rsid w:val="00B9764E"/>
    <w:rsid w:val="00BA2113"/>
    <w:rsid w:val="00BA5842"/>
    <w:rsid w:val="00BA5DB9"/>
    <w:rsid w:val="00BB6FE7"/>
    <w:rsid w:val="00BC1A8F"/>
    <w:rsid w:val="00BD48F4"/>
    <w:rsid w:val="00BD629B"/>
    <w:rsid w:val="00BF5ABF"/>
    <w:rsid w:val="00BF5F82"/>
    <w:rsid w:val="00C2241F"/>
    <w:rsid w:val="00C2475A"/>
    <w:rsid w:val="00C3256A"/>
    <w:rsid w:val="00C34051"/>
    <w:rsid w:val="00C46031"/>
    <w:rsid w:val="00C801C1"/>
    <w:rsid w:val="00C90709"/>
    <w:rsid w:val="00C93B5A"/>
    <w:rsid w:val="00C9701D"/>
    <w:rsid w:val="00CA74CA"/>
    <w:rsid w:val="00CA7652"/>
    <w:rsid w:val="00CC31C6"/>
    <w:rsid w:val="00CE04E3"/>
    <w:rsid w:val="00CE0773"/>
    <w:rsid w:val="00D0147D"/>
    <w:rsid w:val="00D0339C"/>
    <w:rsid w:val="00D05353"/>
    <w:rsid w:val="00D12EAA"/>
    <w:rsid w:val="00D16F6A"/>
    <w:rsid w:val="00D33215"/>
    <w:rsid w:val="00D43947"/>
    <w:rsid w:val="00D54DE6"/>
    <w:rsid w:val="00D55B26"/>
    <w:rsid w:val="00D67761"/>
    <w:rsid w:val="00D67B53"/>
    <w:rsid w:val="00D67E52"/>
    <w:rsid w:val="00D81D4D"/>
    <w:rsid w:val="00D86EEE"/>
    <w:rsid w:val="00D94C3D"/>
    <w:rsid w:val="00D974E6"/>
    <w:rsid w:val="00DA2317"/>
    <w:rsid w:val="00DB2456"/>
    <w:rsid w:val="00DB5D59"/>
    <w:rsid w:val="00DB6D34"/>
    <w:rsid w:val="00DC4E53"/>
    <w:rsid w:val="00DC4F4A"/>
    <w:rsid w:val="00DD1AC6"/>
    <w:rsid w:val="00DD3418"/>
    <w:rsid w:val="00DE60DC"/>
    <w:rsid w:val="00DE7036"/>
    <w:rsid w:val="00DF389D"/>
    <w:rsid w:val="00DF4E0A"/>
    <w:rsid w:val="00E0300A"/>
    <w:rsid w:val="00E0799F"/>
    <w:rsid w:val="00E109A9"/>
    <w:rsid w:val="00E3306F"/>
    <w:rsid w:val="00E41087"/>
    <w:rsid w:val="00E50079"/>
    <w:rsid w:val="00E505A8"/>
    <w:rsid w:val="00E55575"/>
    <w:rsid w:val="00E614CF"/>
    <w:rsid w:val="00E751E6"/>
    <w:rsid w:val="00E762BB"/>
    <w:rsid w:val="00E902C8"/>
    <w:rsid w:val="00E96D3B"/>
    <w:rsid w:val="00E9776B"/>
    <w:rsid w:val="00EA7961"/>
    <w:rsid w:val="00EC5779"/>
    <w:rsid w:val="00ED53AE"/>
    <w:rsid w:val="00EE564D"/>
    <w:rsid w:val="00EF2FDE"/>
    <w:rsid w:val="00EF3706"/>
    <w:rsid w:val="00EF4F99"/>
    <w:rsid w:val="00F15425"/>
    <w:rsid w:val="00F15F01"/>
    <w:rsid w:val="00F17045"/>
    <w:rsid w:val="00F17569"/>
    <w:rsid w:val="00F20390"/>
    <w:rsid w:val="00F24D0C"/>
    <w:rsid w:val="00F44854"/>
    <w:rsid w:val="00F46E8A"/>
    <w:rsid w:val="00F479F1"/>
    <w:rsid w:val="00F47DEE"/>
    <w:rsid w:val="00F631F7"/>
    <w:rsid w:val="00F705C1"/>
    <w:rsid w:val="00F82508"/>
    <w:rsid w:val="00F91497"/>
    <w:rsid w:val="00FA0672"/>
    <w:rsid w:val="00FB3577"/>
    <w:rsid w:val="00FF49E6"/>
    <w:rsid w:val="0149335D"/>
    <w:rsid w:val="02D7016E"/>
    <w:rsid w:val="0325141F"/>
    <w:rsid w:val="034C693B"/>
    <w:rsid w:val="04484F39"/>
    <w:rsid w:val="0471211A"/>
    <w:rsid w:val="0884081F"/>
    <w:rsid w:val="0D65358A"/>
    <w:rsid w:val="10D23E8A"/>
    <w:rsid w:val="16A71191"/>
    <w:rsid w:val="187574D0"/>
    <w:rsid w:val="18B81733"/>
    <w:rsid w:val="19D563A6"/>
    <w:rsid w:val="19F95B83"/>
    <w:rsid w:val="1AC53E58"/>
    <w:rsid w:val="1F41123F"/>
    <w:rsid w:val="2313015C"/>
    <w:rsid w:val="28A87461"/>
    <w:rsid w:val="297A124C"/>
    <w:rsid w:val="2A2B5E5C"/>
    <w:rsid w:val="2E446350"/>
    <w:rsid w:val="33503E89"/>
    <w:rsid w:val="339630B0"/>
    <w:rsid w:val="37231247"/>
    <w:rsid w:val="3BEA5337"/>
    <w:rsid w:val="3CF94CE9"/>
    <w:rsid w:val="43B82306"/>
    <w:rsid w:val="4B1C32B3"/>
    <w:rsid w:val="4B6F3C10"/>
    <w:rsid w:val="4BDE379F"/>
    <w:rsid w:val="51A83088"/>
    <w:rsid w:val="554F2A62"/>
    <w:rsid w:val="57D868D6"/>
    <w:rsid w:val="5BE86F9A"/>
    <w:rsid w:val="5FAB5F18"/>
    <w:rsid w:val="65177537"/>
    <w:rsid w:val="677C20CB"/>
    <w:rsid w:val="67DC6D2A"/>
    <w:rsid w:val="6AE16D11"/>
    <w:rsid w:val="6B6E7E8D"/>
    <w:rsid w:val="6F902F2B"/>
    <w:rsid w:val="7219788C"/>
    <w:rsid w:val="72574DBF"/>
    <w:rsid w:val="72781114"/>
    <w:rsid w:val="72B57309"/>
    <w:rsid w:val="73962C98"/>
    <w:rsid w:val="7C656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0"/>
    <w:pPr>
      <w:keepNext/>
      <w:keepLines/>
      <w:numPr>
        <w:ilvl w:val="0"/>
        <w:numId w:val="1"/>
      </w:numPr>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27"/>
    <w:qFormat/>
    <w:uiPriority w:val="0"/>
    <w:pPr>
      <w:keepNext/>
      <w:keepLines/>
      <w:numPr>
        <w:ilvl w:val="1"/>
        <w:numId w:val="1"/>
      </w:numPr>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28"/>
    <w:qFormat/>
    <w:uiPriority w:val="0"/>
    <w:pPr>
      <w:keepNext/>
      <w:keepLines/>
      <w:numPr>
        <w:ilvl w:val="2"/>
        <w:numId w:val="1"/>
      </w:numPr>
      <w:spacing w:before="260" w:after="260" w:line="416" w:lineRule="auto"/>
      <w:ind w:firstLine="200" w:firstLineChars="200"/>
      <w:outlineLvl w:val="2"/>
    </w:pPr>
    <w:rPr>
      <w:rFonts w:ascii="Times New Roman" w:hAnsi="Times New Roman" w:eastAsia="宋体" w:cs="Times New Roman"/>
      <w:b/>
      <w:bCs/>
      <w:sz w:val="32"/>
      <w:szCs w:val="32"/>
    </w:rPr>
  </w:style>
  <w:style w:type="paragraph" w:styleId="5">
    <w:name w:val="heading 4"/>
    <w:basedOn w:val="1"/>
    <w:next w:val="1"/>
    <w:link w:val="29"/>
    <w:qFormat/>
    <w:uiPriority w:val="0"/>
    <w:pPr>
      <w:keepNext/>
      <w:keepLines/>
      <w:numPr>
        <w:ilvl w:val="3"/>
        <w:numId w:val="1"/>
      </w:numPr>
      <w:spacing w:before="280" w:after="290" w:line="376" w:lineRule="auto"/>
      <w:ind w:firstLine="200" w:firstLineChars="200"/>
      <w:outlineLvl w:val="3"/>
    </w:pPr>
    <w:rPr>
      <w:rFonts w:ascii="Arial" w:hAnsi="Arial" w:eastAsia="黑体" w:cs="Times New Roman"/>
      <w:b/>
      <w:bCs/>
      <w:sz w:val="28"/>
      <w:szCs w:val="28"/>
    </w:rPr>
  </w:style>
  <w:style w:type="paragraph" w:styleId="6">
    <w:name w:val="heading 5"/>
    <w:basedOn w:val="1"/>
    <w:next w:val="1"/>
    <w:link w:val="30"/>
    <w:qFormat/>
    <w:uiPriority w:val="0"/>
    <w:pPr>
      <w:keepNext/>
      <w:keepLines/>
      <w:numPr>
        <w:ilvl w:val="4"/>
        <w:numId w:val="1"/>
      </w:numPr>
      <w:spacing w:before="280" w:after="290" w:line="376" w:lineRule="auto"/>
      <w:ind w:firstLine="200" w:firstLineChars="200"/>
      <w:outlineLvl w:val="4"/>
    </w:pPr>
    <w:rPr>
      <w:rFonts w:ascii="Times New Roman" w:hAnsi="Times New Roman" w:eastAsia="宋体" w:cs="Times New Roman"/>
      <w:b/>
      <w:bCs/>
      <w:sz w:val="28"/>
      <w:szCs w:val="28"/>
    </w:rPr>
  </w:style>
  <w:style w:type="paragraph" w:styleId="7">
    <w:name w:val="heading 6"/>
    <w:basedOn w:val="1"/>
    <w:next w:val="1"/>
    <w:link w:val="31"/>
    <w:qFormat/>
    <w:uiPriority w:val="0"/>
    <w:pPr>
      <w:keepNext/>
      <w:keepLines/>
      <w:numPr>
        <w:ilvl w:val="5"/>
        <w:numId w:val="1"/>
      </w:numPr>
      <w:spacing w:before="240" w:after="64" w:line="320" w:lineRule="auto"/>
      <w:ind w:firstLine="200" w:firstLineChars="200"/>
      <w:outlineLvl w:val="5"/>
    </w:pPr>
    <w:rPr>
      <w:rFonts w:ascii="Arial" w:hAnsi="Arial" w:eastAsia="黑体" w:cs="Times New Roman"/>
      <w:b/>
      <w:bCs/>
      <w:sz w:val="24"/>
      <w:szCs w:val="24"/>
    </w:rPr>
  </w:style>
  <w:style w:type="paragraph" w:styleId="8">
    <w:name w:val="heading 7"/>
    <w:basedOn w:val="1"/>
    <w:next w:val="1"/>
    <w:link w:val="32"/>
    <w:qFormat/>
    <w:uiPriority w:val="0"/>
    <w:pPr>
      <w:keepNext/>
      <w:keepLines/>
      <w:numPr>
        <w:ilvl w:val="6"/>
        <w:numId w:val="1"/>
      </w:numPr>
      <w:spacing w:before="240" w:after="64" w:line="320" w:lineRule="auto"/>
      <w:ind w:firstLine="200" w:firstLineChars="200"/>
      <w:outlineLvl w:val="6"/>
    </w:pPr>
    <w:rPr>
      <w:rFonts w:ascii="Times New Roman" w:hAnsi="Times New Roman" w:eastAsia="宋体" w:cs="Times New Roman"/>
      <w:b/>
      <w:bCs/>
      <w:sz w:val="24"/>
      <w:szCs w:val="24"/>
    </w:rPr>
  </w:style>
  <w:style w:type="paragraph" w:styleId="9">
    <w:name w:val="heading 8"/>
    <w:basedOn w:val="1"/>
    <w:next w:val="1"/>
    <w:link w:val="33"/>
    <w:qFormat/>
    <w:uiPriority w:val="0"/>
    <w:pPr>
      <w:keepNext/>
      <w:keepLines/>
      <w:numPr>
        <w:ilvl w:val="7"/>
        <w:numId w:val="1"/>
      </w:numPr>
      <w:spacing w:before="240" w:after="64" w:line="320" w:lineRule="auto"/>
      <w:ind w:firstLine="200" w:firstLineChars="200"/>
      <w:outlineLvl w:val="7"/>
    </w:pPr>
    <w:rPr>
      <w:rFonts w:ascii="Arial" w:hAnsi="Arial" w:eastAsia="黑体" w:cs="Times New Roman"/>
      <w:sz w:val="24"/>
      <w:szCs w:val="24"/>
    </w:rPr>
  </w:style>
  <w:style w:type="paragraph" w:styleId="10">
    <w:name w:val="heading 9"/>
    <w:basedOn w:val="1"/>
    <w:next w:val="1"/>
    <w:link w:val="34"/>
    <w:qFormat/>
    <w:uiPriority w:val="0"/>
    <w:pPr>
      <w:keepNext/>
      <w:keepLines/>
      <w:numPr>
        <w:ilvl w:val="8"/>
        <w:numId w:val="1"/>
      </w:numPr>
      <w:spacing w:before="240" w:after="64" w:line="320" w:lineRule="auto"/>
      <w:ind w:firstLine="200" w:firstLineChars="200"/>
      <w:outlineLvl w:val="8"/>
    </w:pPr>
    <w:rPr>
      <w:rFonts w:ascii="Arial" w:hAnsi="Arial" w:eastAsia="黑体" w:cs="Times New Roman"/>
      <w:szCs w:val="21"/>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22"/>
    <w:unhideWhenUsed/>
    <w:qFormat/>
    <w:uiPriority w:val="0"/>
    <w:pPr>
      <w:jc w:val="left"/>
    </w:pPr>
    <w:rPr>
      <w:rFonts w:ascii="Calibri" w:hAnsi="Calibri" w:eastAsia="宋体" w:cs="Times New Roman"/>
    </w:rPr>
  </w:style>
  <w:style w:type="paragraph" w:styleId="12">
    <w:name w:val="Balloon Text"/>
    <w:basedOn w:val="1"/>
    <w:link w:val="23"/>
    <w:semiHidden/>
    <w:unhideWhenUsed/>
    <w:qFormat/>
    <w:uiPriority w:val="99"/>
    <w:rPr>
      <w:sz w:val="18"/>
      <w:szCs w:val="18"/>
    </w:rPr>
  </w:style>
  <w:style w:type="paragraph" w:styleId="13">
    <w:name w:val="footer"/>
    <w:basedOn w:val="1"/>
    <w:link w:val="20"/>
    <w:unhideWhenUsed/>
    <w:qFormat/>
    <w:uiPriority w:val="99"/>
    <w:pPr>
      <w:tabs>
        <w:tab w:val="center" w:pos="4153"/>
        <w:tab w:val="right" w:pos="8306"/>
      </w:tabs>
      <w:snapToGrid w:val="0"/>
      <w:jc w:val="left"/>
    </w:pPr>
    <w:rPr>
      <w:sz w:val="18"/>
      <w:szCs w:val="18"/>
    </w:rPr>
  </w:style>
  <w:style w:type="paragraph" w:styleId="14">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annotation subject"/>
    <w:basedOn w:val="11"/>
    <w:next w:val="11"/>
    <w:link w:val="24"/>
    <w:semiHidden/>
    <w:unhideWhenUsed/>
    <w:qFormat/>
    <w:uiPriority w:val="99"/>
    <w:rPr>
      <w:rFonts w:asciiTheme="minorHAnsi" w:hAnsiTheme="minorHAnsi" w:eastAsiaTheme="minorEastAsia" w:cstheme="minorBidi"/>
      <w:b/>
      <w:bCs/>
    </w:rPr>
  </w:style>
  <w:style w:type="character" w:styleId="18">
    <w:name w:val="annotation reference"/>
    <w:basedOn w:val="17"/>
    <w:semiHidden/>
    <w:unhideWhenUsed/>
    <w:qFormat/>
    <w:uiPriority w:val="99"/>
    <w:rPr>
      <w:sz w:val="21"/>
      <w:szCs w:val="21"/>
    </w:rPr>
  </w:style>
  <w:style w:type="character" w:customStyle="1" w:styleId="19">
    <w:name w:val="页眉 Char"/>
    <w:basedOn w:val="17"/>
    <w:link w:val="14"/>
    <w:qFormat/>
    <w:uiPriority w:val="99"/>
    <w:rPr>
      <w:sz w:val="18"/>
      <w:szCs w:val="18"/>
    </w:rPr>
  </w:style>
  <w:style w:type="character" w:customStyle="1" w:styleId="20">
    <w:name w:val="页脚 Char"/>
    <w:basedOn w:val="17"/>
    <w:link w:val="13"/>
    <w:qFormat/>
    <w:uiPriority w:val="99"/>
    <w:rPr>
      <w:sz w:val="18"/>
      <w:szCs w:val="18"/>
    </w:rPr>
  </w:style>
  <w:style w:type="paragraph" w:customStyle="1" w:styleId="2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22">
    <w:name w:val="批注文字 Char"/>
    <w:basedOn w:val="17"/>
    <w:link w:val="11"/>
    <w:qFormat/>
    <w:uiPriority w:val="0"/>
    <w:rPr>
      <w:rFonts w:ascii="Calibri" w:hAnsi="Calibri" w:eastAsia="宋体" w:cs="Times New Roman"/>
    </w:rPr>
  </w:style>
  <w:style w:type="character" w:customStyle="1" w:styleId="23">
    <w:name w:val="批注框文本 Char"/>
    <w:basedOn w:val="17"/>
    <w:link w:val="12"/>
    <w:semiHidden/>
    <w:qFormat/>
    <w:uiPriority w:val="99"/>
    <w:rPr>
      <w:sz w:val="18"/>
      <w:szCs w:val="18"/>
    </w:rPr>
  </w:style>
  <w:style w:type="character" w:customStyle="1" w:styleId="24">
    <w:name w:val="批注主题 Char"/>
    <w:basedOn w:val="22"/>
    <w:link w:val="15"/>
    <w:semiHidden/>
    <w:qFormat/>
    <w:uiPriority w:val="99"/>
    <w:rPr>
      <w:rFonts w:ascii="Calibri" w:hAnsi="Calibri" w:eastAsia="宋体" w:cs="Times New Roman"/>
      <w:b/>
      <w:bCs/>
    </w:rPr>
  </w:style>
  <w:style w:type="paragraph" w:customStyle="1" w:styleId="25">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6">
    <w:name w:val="标题 1 Char"/>
    <w:basedOn w:val="17"/>
    <w:link w:val="2"/>
    <w:qFormat/>
    <w:uiPriority w:val="0"/>
    <w:rPr>
      <w:rFonts w:ascii="Times New Roman" w:hAnsi="Times New Roman" w:eastAsia="宋体" w:cs="Times New Roman"/>
      <w:b/>
      <w:bCs/>
      <w:kern w:val="44"/>
      <w:sz w:val="44"/>
      <w:szCs w:val="44"/>
    </w:rPr>
  </w:style>
  <w:style w:type="character" w:customStyle="1" w:styleId="27">
    <w:name w:val="标题 2 Char"/>
    <w:basedOn w:val="17"/>
    <w:link w:val="3"/>
    <w:qFormat/>
    <w:uiPriority w:val="0"/>
    <w:rPr>
      <w:rFonts w:ascii="Arial" w:hAnsi="Arial" w:eastAsia="黑体" w:cs="Times New Roman"/>
      <w:b/>
      <w:bCs/>
      <w:kern w:val="2"/>
      <w:sz w:val="32"/>
      <w:szCs w:val="32"/>
    </w:rPr>
  </w:style>
  <w:style w:type="character" w:customStyle="1" w:styleId="28">
    <w:name w:val="标题 3 Char"/>
    <w:basedOn w:val="17"/>
    <w:link w:val="4"/>
    <w:qFormat/>
    <w:uiPriority w:val="0"/>
    <w:rPr>
      <w:rFonts w:ascii="Times New Roman" w:hAnsi="Times New Roman" w:eastAsia="宋体" w:cs="Times New Roman"/>
      <w:b/>
      <w:bCs/>
      <w:kern w:val="2"/>
      <w:sz w:val="32"/>
      <w:szCs w:val="32"/>
    </w:rPr>
  </w:style>
  <w:style w:type="character" w:customStyle="1" w:styleId="29">
    <w:name w:val="标题 4 Char"/>
    <w:basedOn w:val="17"/>
    <w:link w:val="5"/>
    <w:qFormat/>
    <w:uiPriority w:val="0"/>
    <w:rPr>
      <w:rFonts w:ascii="Arial" w:hAnsi="Arial" w:eastAsia="黑体" w:cs="Times New Roman"/>
      <w:b/>
      <w:bCs/>
      <w:kern w:val="2"/>
      <w:sz w:val="28"/>
      <w:szCs w:val="28"/>
    </w:rPr>
  </w:style>
  <w:style w:type="character" w:customStyle="1" w:styleId="30">
    <w:name w:val="标题 5 Char"/>
    <w:basedOn w:val="17"/>
    <w:link w:val="6"/>
    <w:qFormat/>
    <w:uiPriority w:val="0"/>
    <w:rPr>
      <w:rFonts w:ascii="Times New Roman" w:hAnsi="Times New Roman" w:eastAsia="宋体" w:cs="Times New Roman"/>
      <w:b/>
      <w:bCs/>
      <w:kern w:val="2"/>
      <w:sz w:val="28"/>
      <w:szCs w:val="28"/>
    </w:rPr>
  </w:style>
  <w:style w:type="character" w:customStyle="1" w:styleId="31">
    <w:name w:val="标题 6 Char"/>
    <w:basedOn w:val="17"/>
    <w:link w:val="7"/>
    <w:qFormat/>
    <w:uiPriority w:val="0"/>
    <w:rPr>
      <w:rFonts w:ascii="Arial" w:hAnsi="Arial" w:eastAsia="黑体" w:cs="Times New Roman"/>
      <w:b/>
      <w:bCs/>
      <w:kern w:val="2"/>
      <w:sz w:val="24"/>
      <w:szCs w:val="24"/>
    </w:rPr>
  </w:style>
  <w:style w:type="character" w:customStyle="1" w:styleId="32">
    <w:name w:val="标题 7 Char"/>
    <w:basedOn w:val="17"/>
    <w:link w:val="8"/>
    <w:uiPriority w:val="0"/>
    <w:rPr>
      <w:rFonts w:ascii="Times New Roman" w:hAnsi="Times New Roman" w:eastAsia="宋体" w:cs="Times New Roman"/>
      <w:b/>
      <w:bCs/>
      <w:kern w:val="2"/>
      <w:sz w:val="24"/>
      <w:szCs w:val="24"/>
    </w:rPr>
  </w:style>
  <w:style w:type="character" w:customStyle="1" w:styleId="33">
    <w:name w:val="标题 8 Char"/>
    <w:basedOn w:val="17"/>
    <w:link w:val="9"/>
    <w:qFormat/>
    <w:uiPriority w:val="0"/>
    <w:rPr>
      <w:rFonts w:ascii="Arial" w:hAnsi="Arial" w:eastAsia="黑体" w:cs="Times New Roman"/>
      <w:kern w:val="2"/>
      <w:sz w:val="24"/>
      <w:szCs w:val="24"/>
    </w:rPr>
  </w:style>
  <w:style w:type="character" w:customStyle="1" w:styleId="34">
    <w:name w:val="标题 9 Char"/>
    <w:basedOn w:val="17"/>
    <w:link w:val="10"/>
    <w:uiPriority w:val="0"/>
    <w:rPr>
      <w:rFonts w:ascii="Arial" w:hAnsi="Arial" w:eastAsia="黑体" w:cs="Times New Roman"/>
      <w:kern w:val="2"/>
      <w:sz w:val="21"/>
      <w:szCs w:val="21"/>
    </w:rPr>
  </w:style>
  <w:style w:type="paragraph" w:customStyle="1" w:styleId="35">
    <w:name w:val="修订2"/>
    <w:hidden/>
    <w:semiHidden/>
    <w:uiPriority w:val="99"/>
    <w:rPr>
      <w:rFonts w:asciiTheme="minorHAnsi" w:hAnsiTheme="minorHAnsi" w:eastAsiaTheme="minorEastAsia" w:cstheme="minorBidi"/>
      <w:kern w:val="2"/>
      <w:sz w:val="21"/>
      <w:szCs w:val="22"/>
      <w:lang w:val="en-US" w:eastAsia="zh-CN" w:bidi="ar-SA"/>
    </w:rPr>
  </w:style>
  <w:style w:type="character" w:customStyle="1" w:styleId="36">
    <w:name w:val="emailstyle15"/>
    <w:basedOn w:val="17"/>
    <w:qFormat/>
    <w:uiPriority w:val="0"/>
    <w:rPr>
      <w:rFonts w:hint="default" w:ascii="Calibri" w:hAnsi="Calibri" w:eastAsia="宋体" w:cs="Times New Roman"/>
      <w:color w:val="1F497D"/>
      <w:sz w:val="21"/>
      <w:szCs w:val="22"/>
    </w:rPr>
  </w:style>
  <w:style w:type="paragraph" w:customStyle="1" w:styleId="37">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8">
    <w:name w:val="样式 我的正文 + 首行缩进:  2 字符 段后: 0.4 行"/>
    <w:qFormat/>
    <w:uiPriority w:val="0"/>
    <w:pPr>
      <w:widowControl w:val="0"/>
      <w:spacing w:afterLines="40" w:line="300" w:lineRule="auto"/>
      <w:ind w:firstLine="480" w:firstLineChars="200"/>
      <w:jc w:val="both"/>
    </w:pPr>
    <w:rPr>
      <w:rFonts w:ascii="Times New Roman" w:hAnsi="Times New Roman" w:eastAsia="宋体" w:cs="Times New Roman"/>
      <w:kern w:val="2"/>
      <w:sz w:val="24"/>
      <w:lang w:val="en-US" w:eastAsia="zh-CN" w:bidi="ar-SA"/>
    </w:rPr>
  </w:style>
  <w:style w:type="paragraph" w:customStyle="1" w:styleId="39">
    <w:name w:val="修订4"/>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294BDC-DBFC-4D0F-9789-D5C4D8F18583}">
  <ds:schemaRefs/>
</ds:datastoreItem>
</file>

<file path=docProps/app.xml><?xml version="1.0" encoding="utf-8"?>
<Properties xmlns="http://schemas.openxmlformats.org/officeDocument/2006/extended-properties" xmlns:vt="http://schemas.openxmlformats.org/officeDocument/2006/docPropsVTypes">
  <Template>Normal</Template>
  <Pages>13</Pages>
  <Words>1652</Words>
  <Characters>9419</Characters>
  <Lines>78</Lines>
  <Paragraphs>22</Paragraphs>
  <TotalTime>17</TotalTime>
  <ScaleCrop>false</ScaleCrop>
  <LinksUpToDate>false</LinksUpToDate>
  <CharactersWithSpaces>11049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2022-08-18T02:53:00Z</dcterms:created>
  <dc:creator>石慧 （总行运营管理部）</dc:creator>
  <cp:lastModifiedBy>夏 超</cp:lastModifiedBy>
  <cp:lastPrinted>2019-09-05T02:48:00Z</cp:lastPrinted>
  <dcterms:modified xsi:type="dcterms:W3CDTF">2022-09-14T01:03:10Z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